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1525" w14:textId="77777777" w:rsidR="002333EB" w:rsidRDefault="002333EB"/>
    <w:p w14:paraId="30147B3E" w14:textId="77777777" w:rsidR="00B93EB9" w:rsidRDefault="00B93EB9"/>
    <w:p w14:paraId="5FF9C19A" w14:textId="77777777" w:rsidR="00B93EB9" w:rsidRDefault="00B93EB9"/>
    <w:p w14:paraId="0DA9713F" w14:textId="77777777" w:rsidR="00B93EB9" w:rsidRDefault="00B93EB9"/>
    <w:p w14:paraId="5AD826C5" w14:textId="77777777" w:rsidR="00B93EB9" w:rsidRDefault="00B93EB9"/>
    <w:p w14:paraId="0C16AA6B" w14:textId="77777777" w:rsidR="00A11CCF" w:rsidRPr="00A11CCF" w:rsidRDefault="00A11CCF" w:rsidP="00A11CCF">
      <w:pPr>
        <w:jc w:val="center"/>
        <w:rPr>
          <w:rFonts w:ascii="Verdana" w:hAnsi="Verdana"/>
          <w:b/>
          <w:color w:val="7030A0"/>
          <w:sz w:val="56"/>
          <w:szCs w:val="56"/>
        </w:rPr>
      </w:pPr>
      <w:r w:rsidRPr="00A11CCF">
        <w:rPr>
          <w:rFonts w:ascii="Verdana" w:hAnsi="Verdana"/>
          <w:b/>
          <w:color w:val="7030A0"/>
          <w:sz w:val="56"/>
          <w:szCs w:val="56"/>
        </w:rPr>
        <w:t xml:space="preserve">Information, Advice and </w:t>
      </w:r>
    </w:p>
    <w:p w14:paraId="2297FA9D" w14:textId="5C948431" w:rsidR="00B93EB9" w:rsidRDefault="00A11CCF" w:rsidP="00A11CCF">
      <w:pPr>
        <w:jc w:val="center"/>
        <w:rPr>
          <w:rFonts w:ascii="Verdana" w:hAnsi="Verdana"/>
          <w:b/>
          <w:bCs/>
          <w:sz w:val="18"/>
          <w:szCs w:val="18"/>
        </w:rPr>
      </w:pPr>
      <w:r w:rsidRPr="00A11CCF">
        <w:rPr>
          <w:rFonts w:ascii="Verdana" w:hAnsi="Verdana"/>
          <w:b/>
          <w:color w:val="7030A0"/>
          <w:sz w:val="56"/>
          <w:szCs w:val="56"/>
        </w:rPr>
        <w:t>Guidance Policy</w:t>
      </w:r>
    </w:p>
    <w:p w14:paraId="68512E76" w14:textId="77777777" w:rsidR="00B93EB9" w:rsidRDefault="00B93EB9" w:rsidP="00B93EB9">
      <w:pPr>
        <w:rPr>
          <w:rFonts w:ascii="Verdana" w:hAnsi="Verdana"/>
          <w:b/>
          <w:bCs/>
          <w:sz w:val="18"/>
          <w:szCs w:val="18"/>
        </w:rPr>
      </w:pPr>
    </w:p>
    <w:p w14:paraId="0D704E5F" w14:textId="77777777" w:rsidR="00B93EB9" w:rsidRDefault="00B93EB9" w:rsidP="00B93EB9">
      <w:pPr>
        <w:rPr>
          <w:rFonts w:ascii="Verdana" w:hAnsi="Verdana"/>
          <w:b/>
          <w:bCs/>
          <w:sz w:val="18"/>
          <w:szCs w:val="18"/>
        </w:rPr>
      </w:pPr>
      <w:r>
        <w:rPr>
          <w:rFonts w:ascii="Verdana" w:hAnsi="Verdana"/>
          <w:b/>
          <w:bCs/>
          <w:sz w:val="18"/>
          <w:szCs w:val="18"/>
        </w:rPr>
        <w:t>Department: Key College</w:t>
      </w:r>
    </w:p>
    <w:p w14:paraId="287B3C66" w14:textId="77777777" w:rsidR="00B93EB9" w:rsidRDefault="00B93EB9" w:rsidP="00B93EB9">
      <w:pPr>
        <w:rPr>
          <w:rFonts w:ascii="Verdana" w:hAnsi="Verdana"/>
          <w:b/>
          <w:bCs/>
          <w:sz w:val="18"/>
          <w:szCs w:val="18"/>
        </w:rPr>
      </w:pPr>
    </w:p>
    <w:p w14:paraId="1AC8DD23" w14:textId="77777777" w:rsidR="00B93EB9" w:rsidRDefault="00B93EB9" w:rsidP="00B93EB9">
      <w:pPr>
        <w:rPr>
          <w:rFonts w:ascii="Verdana" w:hAnsi="Verdana"/>
          <w:b/>
          <w:bCs/>
          <w:sz w:val="18"/>
          <w:szCs w:val="18"/>
        </w:rPr>
      </w:pPr>
      <w:r>
        <w:rPr>
          <w:rFonts w:ascii="Verdana" w:hAnsi="Verdana"/>
          <w:b/>
          <w:bCs/>
          <w:sz w:val="18"/>
          <w:szCs w:val="18"/>
        </w:rPr>
        <w:t>Owner:  Training &amp; Education Manager</w:t>
      </w:r>
    </w:p>
    <w:p w14:paraId="26D85784" w14:textId="77777777" w:rsidR="00B93EB9" w:rsidRDefault="00B93EB9" w:rsidP="00B93EB9">
      <w:pPr>
        <w:rPr>
          <w:rFonts w:ascii="Verdana" w:hAnsi="Verdana"/>
          <w:b/>
          <w:bCs/>
          <w:sz w:val="18"/>
          <w:szCs w:val="18"/>
        </w:rPr>
      </w:pPr>
    </w:p>
    <w:p w14:paraId="54A22796" w14:textId="77777777" w:rsidR="00B93EB9" w:rsidRDefault="00B93EB9" w:rsidP="00B93EB9">
      <w:pPr>
        <w:rPr>
          <w:rFonts w:ascii="Verdana" w:hAnsi="Verdana"/>
          <w:b/>
          <w:bCs/>
          <w:sz w:val="18"/>
          <w:szCs w:val="18"/>
        </w:rPr>
      </w:pPr>
      <w:r>
        <w:rPr>
          <w:rFonts w:ascii="Verdana" w:hAnsi="Verdana"/>
          <w:b/>
          <w:bCs/>
          <w:sz w:val="18"/>
          <w:szCs w:val="18"/>
        </w:rPr>
        <w:t>Approval Route: Lifelong Learning Committee</w:t>
      </w:r>
    </w:p>
    <w:p w14:paraId="6BD58E04" w14:textId="77777777" w:rsidR="00B93EB9" w:rsidRDefault="00B93EB9" w:rsidP="00B93EB9">
      <w:pPr>
        <w:rPr>
          <w:rFonts w:ascii="Verdana" w:hAnsi="Verdana"/>
          <w:b/>
          <w:bCs/>
          <w:sz w:val="18"/>
          <w:szCs w:val="18"/>
        </w:rPr>
      </w:pPr>
    </w:p>
    <w:p w14:paraId="7AB61833" w14:textId="77777777" w:rsidR="00B93EB9" w:rsidRDefault="00B93EB9" w:rsidP="00B93EB9">
      <w:pPr>
        <w:rPr>
          <w:rFonts w:ascii="Verdana" w:hAnsi="Verdana"/>
          <w:b/>
          <w:bCs/>
          <w:sz w:val="18"/>
          <w:szCs w:val="18"/>
        </w:rPr>
      </w:pPr>
      <w:r>
        <w:rPr>
          <w:rFonts w:ascii="Verdana" w:hAnsi="Verdana"/>
          <w:b/>
          <w:bCs/>
          <w:sz w:val="18"/>
          <w:szCs w:val="18"/>
        </w:rPr>
        <w:t>Frequency of Revision: Annual</w:t>
      </w:r>
    </w:p>
    <w:p w14:paraId="5EF78B52" w14:textId="77777777" w:rsidR="00500C59" w:rsidRDefault="00500C59" w:rsidP="00B93EB9">
      <w:pPr>
        <w:rPr>
          <w:rFonts w:ascii="Verdana" w:hAnsi="Verdana"/>
          <w:b/>
          <w:bCs/>
          <w:sz w:val="18"/>
          <w:szCs w:val="18"/>
        </w:rPr>
      </w:pPr>
    </w:p>
    <w:p w14:paraId="5C39A9AA" w14:textId="77777777" w:rsidR="00500C59" w:rsidRDefault="00500C59" w:rsidP="00B93EB9">
      <w:pPr>
        <w:rPr>
          <w:rFonts w:ascii="Verdana" w:hAnsi="Verdana"/>
          <w:b/>
          <w:bCs/>
          <w:sz w:val="18"/>
          <w:szCs w:val="18"/>
        </w:rPr>
      </w:pPr>
    </w:p>
    <w:p w14:paraId="36CB5A55" w14:textId="77777777" w:rsidR="00B93EB9" w:rsidRDefault="00B93EB9" w:rsidP="00B93EB9">
      <w:pPr>
        <w:rPr>
          <w:rFonts w:ascii="Verdana" w:hAnsi="Verdana"/>
          <w:b/>
          <w:bCs/>
          <w:sz w:val="18"/>
          <w:szCs w:val="18"/>
        </w:rPr>
      </w:pPr>
    </w:p>
    <w:tbl>
      <w:tblPr>
        <w:tblW w:w="7605" w:type="dxa"/>
        <w:tblInd w:w="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070"/>
        <w:gridCol w:w="3465"/>
      </w:tblGrid>
      <w:tr w:rsidR="00B93EB9" w14:paraId="5ABBA4C2" w14:textId="77777777" w:rsidTr="2FC1284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hideMark/>
          </w:tcPr>
          <w:p w14:paraId="325547D2" w14:textId="77777777" w:rsidR="00B93EB9" w:rsidRDefault="00B93EB9">
            <w:pPr>
              <w:spacing w:line="276" w:lineRule="auto"/>
              <w:rPr>
                <w:rFonts w:ascii="Verdana" w:hAnsi="Verdana"/>
                <w:b/>
                <w:sz w:val="18"/>
                <w:szCs w:val="18"/>
                <w:lang w:eastAsia="en-US"/>
              </w:rPr>
            </w:pPr>
            <w:r>
              <w:rPr>
                <w:rFonts w:ascii="Verdana" w:hAnsi="Verdana"/>
                <w:b/>
                <w:bCs/>
                <w:sz w:val="18"/>
                <w:szCs w:val="18"/>
                <w:lang w:eastAsia="en-US"/>
              </w:rPr>
              <w:t>Version</w:t>
            </w:r>
            <w:r>
              <w:rPr>
                <w:rFonts w:ascii="Verdana" w:hAnsi="Verdana"/>
                <w:b/>
                <w:sz w:val="18"/>
                <w:szCs w:val="18"/>
                <w:lang w:eastAsia="en-US"/>
              </w:rPr>
              <w:t> </w:t>
            </w:r>
          </w:p>
        </w:tc>
        <w:tc>
          <w:tcPr>
            <w:tcW w:w="2070" w:type="dxa"/>
            <w:tcBorders>
              <w:top w:val="double" w:sz="6" w:space="0" w:color="000000" w:themeColor="text1"/>
              <w:left w:val="double" w:sz="6" w:space="0" w:color="000000" w:themeColor="text1"/>
              <w:bottom w:val="double" w:sz="6" w:space="0" w:color="000000" w:themeColor="text1"/>
              <w:right w:val="nil"/>
            </w:tcBorders>
            <w:hideMark/>
          </w:tcPr>
          <w:p w14:paraId="0CB10E12" w14:textId="77777777" w:rsidR="00B93EB9" w:rsidRDefault="00B93EB9">
            <w:pPr>
              <w:spacing w:line="276" w:lineRule="auto"/>
              <w:rPr>
                <w:rFonts w:ascii="Verdana" w:hAnsi="Verdana"/>
                <w:b/>
                <w:sz w:val="18"/>
                <w:szCs w:val="18"/>
                <w:lang w:eastAsia="en-US"/>
              </w:rPr>
            </w:pPr>
            <w:r>
              <w:rPr>
                <w:rFonts w:ascii="Verdana" w:hAnsi="Verdana"/>
                <w:b/>
                <w:bCs/>
                <w:sz w:val="18"/>
                <w:szCs w:val="18"/>
                <w:lang w:eastAsia="en-US"/>
              </w:rPr>
              <w:t>Date Approved</w:t>
            </w:r>
            <w:r>
              <w:rPr>
                <w:rFonts w:ascii="Verdana" w:hAnsi="Verdana"/>
                <w:b/>
                <w:sz w:val="18"/>
                <w:szCs w:val="18"/>
                <w:lang w:eastAsia="en-US"/>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hideMark/>
          </w:tcPr>
          <w:p w14:paraId="7F7586A7" w14:textId="77777777" w:rsidR="00B93EB9" w:rsidRDefault="00B93EB9">
            <w:pPr>
              <w:spacing w:line="276" w:lineRule="auto"/>
              <w:rPr>
                <w:rFonts w:ascii="Verdana" w:hAnsi="Verdana"/>
                <w:b/>
                <w:sz w:val="18"/>
                <w:szCs w:val="18"/>
                <w:lang w:eastAsia="en-US"/>
              </w:rPr>
            </w:pPr>
            <w:r>
              <w:rPr>
                <w:rFonts w:ascii="Verdana" w:hAnsi="Verdana"/>
                <w:b/>
                <w:bCs/>
                <w:sz w:val="18"/>
                <w:szCs w:val="18"/>
                <w:lang w:eastAsia="en-US"/>
              </w:rPr>
              <w:t>Reason for Update</w:t>
            </w:r>
            <w:r>
              <w:rPr>
                <w:rFonts w:ascii="Verdana" w:hAnsi="Verdana"/>
                <w:b/>
                <w:sz w:val="18"/>
                <w:szCs w:val="18"/>
                <w:lang w:eastAsia="en-US"/>
              </w:rPr>
              <w:t> </w:t>
            </w:r>
          </w:p>
        </w:tc>
      </w:tr>
      <w:tr w:rsidR="00B93EB9" w14:paraId="71D21C41" w14:textId="77777777" w:rsidTr="2FC1284C">
        <w:trPr>
          <w:trHeight w:val="392"/>
        </w:trPr>
        <w:tc>
          <w:tcPr>
            <w:tcW w:w="2070" w:type="dxa"/>
            <w:tcBorders>
              <w:top w:val="double" w:sz="6" w:space="0" w:color="000000" w:themeColor="text1"/>
              <w:left w:val="double" w:sz="6" w:space="0" w:color="000000" w:themeColor="text1"/>
              <w:bottom w:val="double" w:sz="6" w:space="0" w:color="000000" w:themeColor="text1"/>
              <w:right w:val="nil"/>
            </w:tcBorders>
          </w:tcPr>
          <w:p w14:paraId="5332CE59" w14:textId="5F385773" w:rsidR="00B93EB9" w:rsidRDefault="00A11CCF" w:rsidP="00A11CCF">
            <w:pPr>
              <w:spacing w:line="276" w:lineRule="auto"/>
              <w:jc w:val="center"/>
              <w:rPr>
                <w:rFonts w:ascii="Verdana" w:hAnsi="Verdana"/>
                <w:b/>
                <w:sz w:val="18"/>
                <w:szCs w:val="18"/>
                <w:lang w:eastAsia="en-US"/>
              </w:rPr>
            </w:pPr>
            <w:r>
              <w:rPr>
                <w:rFonts w:ascii="Verdana" w:hAnsi="Verdana"/>
                <w:b/>
                <w:sz w:val="18"/>
                <w:szCs w:val="18"/>
                <w:lang w:eastAsia="en-US"/>
              </w:rPr>
              <w:t>1</w:t>
            </w:r>
          </w:p>
        </w:tc>
        <w:tc>
          <w:tcPr>
            <w:tcW w:w="2070" w:type="dxa"/>
            <w:tcBorders>
              <w:top w:val="double" w:sz="6" w:space="0" w:color="000000" w:themeColor="text1"/>
              <w:left w:val="double" w:sz="6" w:space="0" w:color="000000" w:themeColor="text1"/>
              <w:bottom w:val="double" w:sz="6" w:space="0" w:color="000000" w:themeColor="text1"/>
              <w:right w:val="nil"/>
            </w:tcBorders>
          </w:tcPr>
          <w:p w14:paraId="5F232138" w14:textId="419B164C" w:rsidR="00B93EB9" w:rsidRDefault="00A11CCF">
            <w:pPr>
              <w:spacing w:line="276" w:lineRule="auto"/>
              <w:rPr>
                <w:rFonts w:ascii="Verdana" w:hAnsi="Verdana"/>
                <w:b/>
                <w:sz w:val="18"/>
                <w:szCs w:val="18"/>
                <w:lang w:eastAsia="en-US"/>
              </w:rPr>
            </w:pPr>
            <w:r>
              <w:rPr>
                <w:rFonts w:ascii="Verdana" w:hAnsi="Verdana"/>
                <w:b/>
                <w:sz w:val="18"/>
                <w:szCs w:val="18"/>
                <w:lang w:eastAsia="en-US"/>
              </w:rPr>
              <w:t>September 2023</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40615A4D" w14:textId="77777777" w:rsidR="00B93EB9" w:rsidRDefault="00B93EB9">
            <w:pPr>
              <w:spacing w:line="276" w:lineRule="auto"/>
              <w:rPr>
                <w:rFonts w:ascii="Verdana" w:hAnsi="Verdana"/>
                <w:b/>
                <w:sz w:val="18"/>
                <w:szCs w:val="18"/>
                <w:lang w:eastAsia="en-US"/>
              </w:rPr>
            </w:pPr>
          </w:p>
        </w:tc>
      </w:tr>
      <w:tr w:rsidR="00B93EB9" w14:paraId="6FA7273E" w14:textId="77777777" w:rsidTr="2FC1284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Pr>
          <w:p w14:paraId="2492D31D" w14:textId="0F7FC9A5" w:rsidR="00B93EB9" w:rsidRDefault="00A11CCF" w:rsidP="00A11CCF">
            <w:pPr>
              <w:spacing w:line="276" w:lineRule="auto"/>
              <w:jc w:val="center"/>
              <w:rPr>
                <w:rFonts w:ascii="Verdana" w:hAnsi="Verdana"/>
                <w:b/>
                <w:sz w:val="18"/>
                <w:szCs w:val="18"/>
                <w:lang w:eastAsia="en-US"/>
              </w:rPr>
            </w:pPr>
            <w:r>
              <w:rPr>
                <w:rFonts w:ascii="Verdana" w:hAnsi="Verdana"/>
                <w:b/>
                <w:sz w:val="18"/>
                <w:szCs w:val="18"/>
                <w:lang w:eastAsia="en-US"/>
              </w:rPr>
              <w:t>2</w:t>
            </w:r>
          </w:p>
        </w:tc>
        <w:tc>
          <w:tcPr>
            <w:tcW w:w="2070" w:type="dxa"/>
            <w:tcBorders>
              <w:top w:val="double" w:sz="6" w:space="0" w:color="000000" w:themeColor="text1"/>
              <w:left w:val="double" w:sz="6" w:space="0" w:color="000000" w:themeColor="text1"/>
              <w:bottom w:val="double" w:sz="6" w:space="0" w:color="000000" w:themeColor="text1"/>
              <w:right w:val="nil"/>
            </w:tcBorders>
          </w:tcPr>
          <w:p w14:paraId="2FB9CFC9" w14:textId="024EAE8A" w:rsidR="00B93EB9" w:rsidRDefault="5FEAFFE0" w:rsidP="2FC1284C">
            <w:pPr>
              <w:spacing w:line="276" w:lineRule="auto"/>
              <w:rPr>
                <w:rFonts w:ascii="Verdana" w:hAnsi="Verdana"/>
                <w:b/>
                <w:bCs/>
                <w:sz w:val="18"/>
                <w:szCs w:val="18"/>
                <w:lang w:eastAsia="en-US"/>
              </w:rPr>
            </w:pPr>
            <w:r w:rsidRPr="2FC1284C">
              <w:rPr>
                <w:rFonts w:ascii="Verdana" w:hAnsi="Verdana"/>
                <w:b/>
                <w:bCs/>
                <w:sz w:val="18"/>
                <w:szCs w:val="18"/>
                <w:lang w:eastAsia="en-US"/>
              </w:rPr>
              <w:t xml:space="preserve">12 March </w:t>
            </w:r>
            <w:r w:rsidR="00A11CCF" w:rsidRPr="2FC1284C">
              <w:rPr>
                <w:rFonts w:ascii="Verdana" w:hAnsi="Verdana"/>
                <w:b/>
                <w:bCs/>
                <w:sz w:val="18"/>
                <w:szCs w:val="18"/>
                <w:lang w:eastAsia="en-US"/>
              </w:rPr>
              <w:t>2024</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6651A1B" w14:textId="36507E03" w:rsidR="00B93EB9" w:rsidRDefault="00A11CCF">
            <w:pPr>
              <w:spacing w:line="276" w:lineRule="auto"/>
              <w:rPr>
                <w:rFonts w:ascii="Verdana" w:hAnsi="Verdana"/>
                <w:b/>
                <w:sz w:val="18"/>
                <w:szCs w:val="18"/>
                <w:lang w:eastAsia="en-US"/>
              </w:rPr>
            </w:pPr>
            <w:r>
              <w:rPr>
                <w:rFonts w:ascii="Verdana" w:hAnsi="Verdana"/>
                <w:b/>
                <w:sz w:val="18"/>
                <w:szCs w:val="18"/>
                <w:lang w:eastAsia="en-US"/>
              </w:rPr>
              <w:t>To improve clarity</w:t>
            </w:r>
          </w:p>
        </w:tc>
      </w:tr>
      <w:tr w:rsidR="00B93EB9" w14:paraId="3A1A0EB9" w14:textId="77777777" w:rsidTr="2FC1284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Pr>
          <w:p w14:paraId="7A996085" w14:textId="1F5A1BB4" w:rsidR="00B93EB9" w:rsidRDefault="004F7DF5" w:rsidP="004F7DF5">
            <w:pPr>
              <w:spacing w:line="276" w:lineRule="auto"/>
              <w:jc w:val="center"/>
              <w:rPr>
                <w:rFonts w:ascii="Verdana" w:hAnsi="Verdana"/>
                <w:b/>
                <w:sz w:val="18"/>
                <w:szCs w:val="18"/>
                <w:lang w:eastAsia="en-US"/>
              </w:rPr>
            </w:pPr>
            <w:r>
              <w:rPr>
                <w:rFonts w:ascii="Verdana" w:hAnsi="Verdana"/>
                <w:b/>
                <w:sz w:val="18"/>
                <w:szCs w:val="18"/>
                <w:lang w:eastAsia="en-US"/>
              </w:rPr>
              <w:t>3</w:t>
            </w:r>
          </w:p>
        </w:tc>
        <w:tc>
          <w:tcPr>
            <w:tcW w:w="2070" w:type="dxa"/>
            <w:tcBorders>
              <w:top w:val="double" w:sz="6" w:space="0" w:color="000000" w:themeColor="text1"/>
              <w:left w:val="double" w:sz="6" w:space="0" w:color="000000" w:themeColor="text1"/>
              <w:bottom w:val="double" w:sz="6" w:space="0" w:color="000000" w:themeColor="text1"/>
              <w:right w:val="nil"/>
            </w:tcBorders>
          </w:tcPr>
          <w:p w14:paraId="6918B6D7" w14:textId="2A40CE5D" w:rsidR="00B93EB9" w:rsidRDefault="004F7DF5">
            <w:pPr>
              <w:spacing w:line="276" w:lineRule="auto"/>
              <w:rPr>
                <w:rFonts w:ascii="Verdana" w:hAnsi="Verdana"/>
                <w:b/>
                <w:sz w:val="18"/>
                <w:szCs w:val="18"/>
                <w:lang w:eastAsia="en-US"/>
              </w:rPr>
            </w:pPr>
            <w:r>
              <w:rPr>
                <w:rFonts w:ascii="Verdana" w:hAnsi="Verdana"/>
                <w:b/>
                <w:sz w:val="18"/>
                <w:szCs w:val="18"/>
                <w:lang w:eastAsia="en-US"/>
              </w:rPr>
              <w:t>04 March 2025</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742B3EED" w14:textId="7202E165" w:rsidR="00B93EB9" w:rsidRDefault="004F7DF5">
            <w:pPr>
              <w:spacing w:line="276" w:lineRule="auto"/>
              <w:rPr>
                <w:rFonts w:ascii="Verdana" w:hAnsi="Verdana"/>
                <w:b/>
                <w:sz w:val="18"/>
                <w:szCs w:val="18"/>
                <w:lang w:eastAsia="en-US"/>
              </w:rPr>
            </w:pPr>
            <w:r>
              <w:rPr>
                <w:rFonts w:ascii="Verdana" w:hAnsi="Verdana"/>
                <w:b/>
                <w:sz w:val="18"/>
                <w:szCs w:val="18"/>
                <w:lang w:eastAsia="en-US"/>
              </w:rPr>
              <w:t>Updated</w:t>
            </w:r>
          </w:p>
        </w:tc>
      </w:tr>
      <w:tr w:rsidR="00B93EB9" w14:paraId="3F85F5BD" w14:textId="77777777" w:rsidTr="2FC1284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Pr>
          <w:p w14:paraId="14B3962B" w14:textId="77777777" w:rsidR="00B93EB9" w:rsidRDefault="00B93EB9">
            <w:pPr>
              <w:spacing w:line="276" w:lineRule="auto"/>
              <w:rPr>
                <w:rFonts w:ascii="Verdana" w:hAnsi="Verdana"/>
                <w:b/>
                <w:sz w:val="18"/>
                <w:szCs w:val="18"/>
                <w:lang w:eastAsia="en-US"/>
              </w:rPr>
            </w:pPr>
          </w:p>
        </w:tc>
        <w:tc>
          <w:tcPr>
            <w:tcW w:w="2070" w:type="dxa"/>
            <w:tcBorders>
              <w:top w:val="double" w:sz="6" w:space="0" w:color="000000" w:themeColor="text1"/>
              <w:left w:val="double" w:sz="6" w:space="0" w:color="000000" w:themeColor="text1"/>
              <w:bottom w:val="double" w:sz="6" w:space="0" w:color="000000" w:themeColor="text1"/>
              <w:right w:val="nil"/>
            </w:tcBorders>
          </w:tcPr>
          <w:p w14:paraId="4894A39F" w14:textId="77777777" w:rsidR="00B93EB9" w:rsidRDefault="00B93EB9">
            <w:pPr>
              <w:spacing w:line="276" w:lineRule="auto"/>
              <w:rPr>
                <w:rFonts w:ascii="Verdana" w:hAnsi="Verdana"/>
                <w:b/>
                <w:sz w:val="18"/>
                <w:szCs w:val="18"/>
                <w:lang w:eastAsia="en-US"/>
              </w:rPr>
            </w:pP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955E6DA" w14:textId="77777777" w:rsidR="00B93EB9" w:rsidRDefault="00B93EB9">
            <w:pPr>
              <w:spacing w:line="276" w:lineRule="auto"/>
              <w:rPr>
                <w:rFonts w:ascii="Verdana" w:hAnsi="Verdana"/>
                <w:b/>
                <w:sz w:val="18"/>
                <w:szCs w:val="18"/>
                <w:lang w:eastAsia="en-US"/>
              </w:rPr>
            </w:pPr>
          </w:p>
        </w:tc>
      </w:tr>
    </w:tbl>
    <w:p w14:paraId="11312483" w14:textId="77777777" w:rsidR="00B93EB9" w:rsidRDefault="00B93EB9" w:rsidP="00B93EB9">
      <w:pPr>
        <w:rPr>
          <w:rFonts w:ascii="Verdana" w:hAnsi="Verdana"/>
          <w:b/>
          <w:bCs/>
          <w:sz w:val="18"/>
          <w:szCs w:val="18"/>
        </w:rPr>
      </w:pPr>
    </w:p>
    <w:p w14:paraId="255268B1" w14:textId="77777777" w:rsidR="00B93EB9" w:rsidRDefault="00B93EB9" w:rsidP="00B93EB9">
      <w:pPr>
        <w:rPr>
          <w:rFonts w:ascii="Verdana" w:hAnsi="Verdana"/>
          <w:b/>
          <w:sz w:val="18"/>
          <w:szCs w:val="18"/>
        </w:rPr>
      </w:pPr>
    </w:p>
    <w:p w14:paraId="6587237E" w14:textId="77777777" w:rsidR="00B93EB9" w:rsidRDefault="00B93EB9" w:rsidP="00B93EB9">
      <w:pPr>
        <w:rPr>
          <w:rFonts w:ascii="Verdana" w:hAnsi="Verdana"/>
          <w:b/>
          <w:sz w:val="18"/>
          <w:szCs w:val="18"/>
        </w:rPr>
      </w:pPr>
    </w:p>
    <w:p w14:paraId="0C6986C6" w14:textId="109158DD" w:rsidR="00B93EB9" w:rsidRDefault="00B93EB9" w:rsidP="00B93EB9">
      <w:pPr>
        <w:rPr>
          <w:rFonts w:ascii="Verdana" w:hAnsi="Verdana"/>
          <w:b/>
          <w:sz w:val="18"/>
          <w:szCs w:val="18"/>
        </w:rPr>
      </w:pPr>
      <w:r>
        <w:rPr>
          <w:rFonts w:ascii="Verdana" w:hAnsi="Verdana"/>
          <w:b/>
          <w:sz w:val="18"/>
          <w:szCs w:val="18"/>
        </w:rPr>
        <w:t>Table of Contents:</w:t>
      </w:r>
      <w:r w:rsidR="00260DDA">
        <w:rPr>
          <w:rFonts w:ascii="Verdana" w:hAnsi="Verdana"/>
          <w:b/>
          <w:sz w:val="18"/>
          <w:szCs w:val="18"/>
        </w:rPr>
        <w:t xml:space="preserve"> </w:t>
      </w:r>
    </w:p>
    <w:p w14:paraId="4763FFEB" w14:textId="77777777" w:rsidR="00B93EB9" w:rsidRDefault="00B93EB9" w:rsidP="00B93EB9">
      <w:pPr>
        <w:rPr>
          <w:rFonts w:ascii="Verdana" w:hAnsi="Verdana"/>
          <w:b/>
          <w:sz w:val="18"/>
          <w:szCs w:val="18"/>
        </w:rPr>
      </w:pPr>
    </w:p>
    <w:tbl>
      <w:tblPr>
        <w:tblStyle w:val="TableGrid"/>
        <w:tblW w:w="0" w:type="auto"/>
        <w:tblInd w:w="0" w:type="dxa"/>
        <w:tblLook w:val="04A0" w:firstRow="1" w:lastRow="0" w:firstColumn="1" w:lastColumn="0" w:noHBand="0" w:noVBand="1"/>
      </w:tblPr>
      <w:tblGrid>
        <w:gridCol w:w="9016"/>
      </w:tblGrid>
      <w:tr w:rsidR="00B93EB9" w14:paraId="405E6736" w14:textId="77777777" w:rsidTr="2FC1284C">
        <w:tc>
          <w:tcPr>
            <w:tcW w:w="9016" w:type="dxa"/>
            <w:tcBorders>
              <w:top w:val="single" w:sz="4" w:space="0" w:color="auto"/>
              <w:left w:val="single" w:sz="4" w:space="0" w:color="auto"/>
              <w:bottom w:val="single" w:sz="4" w:space="0" w:color="auto"/>
              <w:right w:val="single" w:sz="4" w:space="0" w:color="auto"/>
            </w:tcBorders>
            <w:hideMark/>
          </w:tcPr>
          <w:p w14:paraId="625DB7BB" w14:textId="4E049AEE" w:rsidR="00B93EB9" w:rsidRPr="00796E5C" w:rsidRDefault="00B93EB9" w:rsidP="00A11CCF">
            <w:pPr>
              <w:pStyle w:val="ListParagraph"/>
              <w:rPr>
                <w:rFonts w:ascii="Verdana" w:hAnsi="Verdana"/>
                <w:bCs/>
                <w:sz w:val="18"/>
                <w:szCs w:val="18"/>
                <w:lang w:eastAsia="en-US"/>
              </w:rPr>
            </w:pPr>
            <w:r w:rsidRPr="00796E5C">
              <w:rPr>
                <w:rFonts w:ascii="Verdana" w:hAnsi="Verdana"/>
                <w:bCs/>
                <w:sz w:val="18"/>
                <w:szCs w:val="18"/>
                <w:lang w:eastAsia="en-US"/>
              </w:rPr>
              <w:t>Policy Statement</w:t>
            </w:r>
          </w:p>
        </w:tc>
      </w:tr>
      <w:tr w:rsidR="00B93EB9" w14:paraId="3BEDC71A" w14:textId="77777777" w:rsidTr="2FC1284C">
        <w:tc>
          <w:tcPr>
            <w:tcW w:w="9016" w:type="dxa"/>
            <w:tcBorders>
              <w:top w:val="single" w:sz="4" w:space="0" w:color="auto"/>
              <w:left w:val="single" w:sz="4" w:space="0" w:color="auto"/>
              <w:bottom w:val="single" w:sz="4" w:space="0" w:color="auto"/>
              <w:right w:val="single" w:sz="4" w:space="0" w:color="auto"/>
            </w:tcBorders>
            <w:hideMark/>
          </w:tcPr>
          <w:p w14:paraId="0B9DB322" w14:textId="7063519E" w:rsidR="00B93EB9" w:rsidRPr="00B150E5" w:rsidRDefault="004F29AC" w:rsidP="00A11CCF">
            <w:pPr>
              <w:pStyle w:val="ListParagraph"/>
              <w:tabs>
                <w:tab w:val="left" w:pos="732"/>
              </w:tabs>
              <w:rPr>
                <w:rFonts w:ascii="Verdana" w:hAnsi="Verdana"/>
                <w:bCs/>
                <w:sz w:val="18"/>
                <w:szCs w:val="18"/>
                <w:lang w:eastAsia="en-US"/>
              </w:rPr>
            </w:pPr>
            <w:r w:rsidRPr="00B150E5">
              <w:rPr>
                <w:rFonts w:ascii="Verdana" w:hAnsi="Verdana"/>
                <w:bCs/>
                <w:sz w:val="18"/>
                <w:szCs w:val="18"/>
                <w:lang w:eastAsia="en-US"/>
              </w:rPr>
              <w:t>Definitions</w:t>
            </w:r>
          </w:p>
        </w:tc>
      </w:tr>
      <w:tr w:rsidR="004F29AC" w14:paraId="7E55DD66" w14:textId="77777777" w:rsidTr="2FC1284C">
        <w:tc>
          <w:tcPr>
            <w:tcW w:w="9016" w:type="dxa"/>
            <w:tcBorders>
              <w:top w:val="single" w:sz="4" w:space="0" w:color="auto"/>
              <w:left w:val="single" w:sz="4" w:space="0" w:color="auto"/>
              <w:bottom w:val="single" w:sz="4" w:space="0" w:color="auto"/>
              <w:right w:val="single" w:sz="4" w:space="0" w:color="auto"/>
            </w:tcBorders>
            <w:hideMark/>
          </w:tcPr>
          <w:p w14:paraId="2BFC04EE" w14:textId="645FBA44" w:rsidR="004F29AC" w:rsidRPr="00B150E5" w:rsidRDefault="00445F38" w:rsidP="00A11CCF">
            <w:pPr>
              <w:pStyle w:val="ListParagraph"/>
              <w:rPr>
                <w:rFonts w:ascii="Verdana" w:hAnsi="Verdana"/>
                <w:bCs/>
                <w:sz w:val="18"/>
                <w:szCs w:val="18"/>
                <w:lang w:eastAsia="en-US"/>
              </w:rPr>
            </w:pPr>
            <w:r>
              <w:rPr>
                <w:rFonts w:ascii="Verdana" w:hAnsi="Verdana"/>
                <w:bCs/>
                <w:sz w:val="18"/>
                <w:szCs w:val="18"/>
                <w:lang w:eastAsia="en-US"/>
              </w:rPr>
              <w:t xml:space="preserve">Student entitlement </w:t>
            </w:r>
          </w:p>
        </w:tc>
      </w:tr>
      <w:tr w:rsidR="004F29AC" w14:paraId="247F37B0" w14:textId="77777777" w:rsidTr="2FC1284C">
        <w:tc>
          <w:tcPr>
            <w:tcW w:w="9016" w:type="dxa"/>
            <w:tcBorders>
              <w:top w:val="single" w:sz="4" w:space="0" w:color="auto"/>
              <w:left w:val="single" w:sz="4" w:space="0" w:color="auto"/>
              <w:bottom w:val="single" w:sz="4" w:space="0" w:color="auto"/>
              <w:right w:val="single" w:sz="4" w:space="0" w:color="auto"/>
            </w:tcBorders>
          </w:tcPr>
          <w:p w14:paraId="4285DD15" w14:textId="114D86D8" w:rsidR="004F29AC" w:rsidRPr="00B150E5" w:rsidRDefault="00445F38" w:rsidP="00A11CCF">
            <w:pPr>
              <w:pStyle w:val="ListParagraph"/>
              <w:rPr>
                <w:rFonts w:ascii="Verdana" w:hAnsi="Verdana"/>
                <w:sz w:val="18"/>
                <w:szCs w:val="18"/>
                <w:lang w:eastAsia="en-US"/>
              </w:rPr>
            </w:pPr>
            <w:r w:rsidRPr="00B150E5">
              <w:rPr>
                <w:rFonts w:ascii="Verdana" w:hAnsi="Verdana"/>
                <w:sz w:val="18"/>
                <w:szCs w:val="18"/>
                <w:lang w:eastAsia="en-US"/>
              </w:rPr>
              <w:t>Implementation</w:t>
            </w:r>
          </w:p>
        </w:tc>
      </w:tr>
      <w:tr w:rsidR="004F29AC" w14:paraId="62306395" w14:textId="77777777" w:rsidTr="2FC1284C">
        <w:tc>
          <w:tcPr>
            <w:tcW w:w="9016" w:type="dxa"/>
            <w:tcBorders>
              <w:top w:val="single" w:sz="4" w:space="0" w:color="auto"/>
              <w:left w:val="single" w:sz="4" w:space="0" w:color="auto"/>
              <w:bottom w:val="single" w:sz="4" w:space="0" w:color="auto"/>
              <w:right w:val="single" w:sz="4" w:space="0" w:color="auto"/>
            </w:tcBorders>
          </w:tcPr>
          <w:p w14:paraId="3F88123C" w14:textId="32909EC8" w:rsidR="004F29AC" w:rsidRPr="00B150E5" w:rsidRDefault="00445F38" w:rsidP="00A11CCF">
            <w:pPr>
              <w:pStyle w:val="ListParagraph"/>
              <w:rPr>
                <w:rFonts w:ascii="Verdana" w:hAnsi="Verdana"/>
                <w:sz w:val="18"/>
                <w:szCs w:val="18"/>
                <w:lang w:eastAsia="en-US"/>
              </w:rPr>
            </w:pPr>
            <w:r>
              <w:rPr>
                <w:rFonts w:ascii="Verdana" w:hAnsi="Verdana"/>
                <w:sz w:val="18"/>
                <w:szCs w:val="18"/>
                <w:lang w:eastAsia="en-US"/>
              </w:rPr>
              <w:t>Monitoring</w:t>
            </w:r>
          </w:p>
        </w:tc>
      </w:tr>
      <w:tr w:rsidR="004F29AC" w14:paraId="60AA4E03" w14:textId="77777777" w:rsidTr="2FC1284C">
        <w:tc>
          <w:tcPr>
            <w:tcW w:w="9016" w:type="dxa"/>
            <w:tcBorders>
              <w:top w:val="single" w:sz="4" w:space="0" w:color="auto"/>
              <w:left w:val="single" w:sz="4" w:space="0" w:color="auto"/>
              <w:bottom w:val="single" w:sz="4" w:space="0" w:color="auto"/>
              <w:right w:val="single" w:sz="4" w:space="0" w:color="auto"/>
            </w:tcBorders>
          </w:tcPr>
          <w:p w14:paraId="75693885" w14:textId="6CF7DDF6" w:rsidR="004F29AC" w:rsidRPr="00B150E5" w:rsidRDefault="00445F38" w:rsidP="00A11CCF">
            <w:pPr>
              <w:pStyle w:val="ListParagraph"/>
              <w:rPr>
                <w:rFonts w:ascii="Verdana" w:hAnsi="Verdana"/>
                <w:sz w:val="18"/>
                <w:szCs w:val="18"/>
                <w:lang w:eastAsia="en-US"/>
              </w:rPr>
            </w:pPr>
            <w:r>
              <w:rPr>
                <w:rFonts w:ascii="Verdana" w:hAnsi="Verdana"/>
                <w:sz w:val="18"/>
                <w:szCs w:val="18"/>
                <w:lang w:eastAsia="en-US"/>
              </w:rPr>
              <w:t>Quality Assurance and impact measuring</w:t>
            </w:r>
          </w:p>
        </w:tc>
      </w:tr>
      <w:tr w:rsidR="00B150E5" w14:paraId="5006B990" w14:textId="77777777" w:rsidTr="2FC1284C">
        <w:tc>
          <w:tcPr>
            <w:tcW w:w="9016" w:type="dxa"/>
            <w:tcBorders>
              <w:top w:val="single" w:sz="4" w:space="0" w:color="auto"/>
              <w:left w:val="single" w:sz="4" w:space="0" w:color="auto"/>
              <w:bottom w:val="single" w:sz="4" w:space="0" w:color="auto"/>
              <w:right w:val="single" w:sz="4" w:space="0" w:color="auto"/>
            </w:tcBorders>
          </w:tcPr>
          <w:p w14:paraId="0F8A846B" w14:textId="7B751391" w:rsidR="00B150E5" w:rsidRPr="00B150E5" w:rsidRDefault="00BC38F5" w:rsidP="00A11CCF">
            <w:pPr>
              <w:pStyle w:val="ListParagraph"/>
              <w:rPr>
                <w:rFonts w:ascii="Verdana" w:hAnsi="Verdana"/>
                <w:sz w:val="18"/>
                <w:szCs w:val="18"/>
                <w:lang w:eastAsia="en-US"/>
              </w:rPr>
            </w:pPr>
            <w:r>
              <w:rPr>
                <w:rFonts w:ascii="Verdana" w:hAnsi="Verdana"/>
                <w:sz w:val="18"/>
                <w:szCs w:val="18"/>
                <w:lang w:eastAsia="en-US"/>
              </w:rPr>
              <w:t>Responsibility</w:t>
            </w:r>
          </w:p>
        </w:tc>
      </w:tr>
      <w:tr w:rsidR="00A54C37" w14:paraId="11668C0F" w14:textId="77777777" w:rsidTr="2FC1284C">
        <w:tc>
          <w:tcPr>
            <w:tcW w:w="9016" w:type="dxa"/>
            <w:tcBorders>
              <w:top w:val="single" w:sz="4" w:space="0" w:color="auto"/>
              <w:left w:val="single" w:sz="4" w:space="0" w:color="auto"/>
              <w:bottom w:val="single" w:sz="4" w:space="0" w:color="auto"/>
              <w:right w:val="single" w:sz="4" w:space="0" w:color="auto"/>
            </w:tcBorders>
          </w:tcPr>
          <w:p w14:paraId="1D318FCE" w14:textId="127E9733" w:rsidR="00A54C37" w:rsidRDefault="00A54C37" w:rsidP="00A11CCF">
            <w:pPr>
              <w:pStyle w:val="ListParagraph"/>
              <w:rPr>
                <w:rFonts w:ascii="Verdana" w:hAnsi="Verdana"/>
                <w:sz w:val="18"/>
                <w:szCs w:val="18"/>
                <w:lang w:eastAsia="en-US"/>
              </w:rPr>
            </w:pPr>
            <w:r>
              <w:rPr>
                <w:rFonts w:ascii="Verdana" w:hAnsi="Verdana"/>
                <w:sz w:val="18"/>
                <w:szCs w:val="18"/>
                <w:lang w:eastAsia="en-US"/>
              </w:rPr>
              <w:t>Learner Journey</w:t>
            </w:r>
          </w:p>
        </w:tc>
      </w:tr>
    </w:tbl>
    <w:p w14:paraId="0BAD9F2B" w14:textId="77777777" w:rsidR="00B93EB9" w:rsidRDefault="00B93EB9"/>
    <w:p w14:paraId="41E1C825" w14:textId="77777777" w:rsidR="00B93EB9" w:rsidRDefault="00B93EB9"/>
    <w:p w14:paraId="4D6203F5" w14:textId="77777777" w:rsidR="00B93EB9" w:rsidRDefault="00B93EB9"/>
    <w:p w14:paraId="21737EF6" w14:textId="416D58DB" w:rsidR="2FC1284C" w:rsidRDefault="2FC1284C">
      <w:r>
        <w:br w:type="page"/>
      </w:r>
    </w:p>
    <w:p w14:paraId="5CD46636" w14:textId="708CA080" w:rsidR="00B93EB9" w:rsidRPr="00A11CCF" w:rsidRDefault="00B93EB9" w:rsidP="005F3177">
      <w:pPr>
        <w:pStyle w:val="ListParagraph"/>
        <w:numPr>
          <w:ilvl w:val="0"/>
          <w:numId w:val="1"/>
        </w:numPr>
        <w:ind w:left="284"/>
        <w:rPr>
          <w:rFonts w:ascii="Verdana" w:hAnsi="Verdana"/>
          <w:b/>
          <w:bCs/>
          <w:sz w:val="20"/>
          <w:szCs w:val="20"/>
        </w:rPr>
      </w:pPr>
      <w:r w:rsidRPr="00A11CCF">
        <w:rPr>
          <w:rFonts w:ascii="Verdana" w:hAnsi="Verdana"/>
          <w:b/>
          <w:bCs/>
          <w:sz w:val="20"/>
          <w:szCs w:val="20"/>
        </w:rPr>
        <w:lastRenderedPageBreak/>
        <w:t>Policy statement:</w:t>
      </w:r>
    </w:p>
    <w:p w14:paraId="4B8D10C6" w14:textId="77777777" w:rsidR="00B93EB9" w:rsidRPr="00A11CCF" w:rsidRDefault="00B93EB9">
      <w:pPr>
        <w:rPr>
          <w:rFonts w:ascii="Verdana" w:hAnsi="Verdana"/>
          <w:sz w:val="20"/>
          <w:szCs w:val="20"/>
        </w:rPr>
      </w:pPr>
    </w:p>
    <w:p w14:paraId="2C1C046E" w14:textId="03E52029" w:rsidR="00B93EB9" w:rsidRPr="004F7DF5" w:rsidRDefault="00B93EB9">
      <w:pPr>
        <w:rPr>
          <w:rFonts w:ascii="Verdana" w:hAnsi="Verdana"/>
          <w:sz w:val="20"/>
          <w:szCs w:val="20"/>
        </w:rPr>
      </w:pPr>
      <w:r w:rsidRPr="004F7DF5">
        <w:rPr>
          <w:rFonts w:ascii="Verdana" w:hAnsi="Verdana"/>
          <w:sz w:val="20"/>
          <w:szCs w:val="20"/>
        </w:rPr>
        <w:t>It is our aim at Key College that students of all ages and abilities have access to impartial careers</w:t>
      </w:r>
      <w:r w:rsidR="00060E4D" w:rsidRPr="004F7DF5">
        <w:rPr>
          <w:rFonts w:ascii="Verdana" w:hAnsi="Verdana"/>
          <w:sz w:val="20"/>
          <w:szCs w:val="20"/>
        </w:rPr>
        <w:t xml:space="preserve">, </w:t>
      </w:r>
      <w:r w:rsidRPr="004F7DF5">
        <w:rPr>
          <w:rFonts w:ascii="Verdana" w:hAnsi="Verdana"/>
          <w:sz w:val="20"/>
          <w:szCs w:val="20"/>
        </w:rPr>
        <w:t>information, advice</w:t>
      </w:r>
      <w:r w:rsidR="00057968" w:rsidRPr="004F7DF5">
        <w:rPr>
          <w:rFonts w:ascii="Verdana" w:hAnsi="Verdana"/>
          <w:sz w:val="20"/>
          <w:szCs w:val="20"/>
        </w:rPr>
        <w:t>,</w:t>
      </w:r>
      <w:r w:rsidRPr="004F7DF5">
        <w:rPr>
          <w:rFonts w:ascii="Verdana" w:hAnsi="Verdana"/>
          <w:sz w:val="20"/>
          <w:szCs w:val="20"/>
        </w:rPr>
        <w:t xml:space="preserve"> and guidance </w:t>
      </w:r>
      <w:r w:rsidR="00A11CCF" w:rsidRPr="004F7DF5">
        <w:rPr>
          <w:rFonts w:ascii="Verdana" w:hAnsi="Verdana"/>
          <w:sz w:val="20"/>
          <w:szCs w:val="20"/>
        </w:rPr>
        <w:t xml:space="preserve">(IAG) </w:t>
      </w:r>
      <w:r w:rsidRPr="004F7DF5">
        <w:rPr>
          <w:rFonts w:ascii="Verdana" w:hAnsi="Verdana"/>
          <w:sz w:val="20"/>
          <w:szCs w:val="20"/>
        </w:rPr>
        <w:t>that is appropriate and meaningful. We aim to provide students with opportunities and encounters that develop their knowledge, skill sets and independence to enable them to make informed, and ultimately</w:t>
      </w:r>
      <w:r w:rsidR="004F29AC" w:rsidRPr="004F7DF5">
        <w:rPr>
          <w:rFonts w:ascii="Verdana" w:hAnsi="Verdana"/>
          <w:sz w:val="20"/>
          <w:szCs w:val="20"/>
        </w:rPr>
        <w:t>,</w:t>
      </w:r>
      <w:r w:rsidRPr="004F7DF5">
        <w:rPr>
          <w:rFonts w:ascii="Verdana" w:hAnsi="Verdana"/>
          <w:sz w:val="20"/>
          <w:szCs w:val="20"/>
        </w:rPr>
        <w:t xml:space="preserve"> successful choices for their future development. We aim for students to take a leading role in their own development and strive to support students to </w:t>
      </w:r>
      <w:r w:rsidR="004F29AC" w:rsidRPr="004F7DF5">
        <w:rPr>
          <w:rFonts w:ascii="Verdana" w:hAnsi="Verdana"/>
          <w:sz w:val="20"/>
          <w:szCs w:val="20"/>
        </w:rPr>
        <w:t>pursue their own ca</w:t>
      </w:r>
      <w:r w:rsidR="00060E4D" w:rsidRPr="004F7DF5">
        <w:rPr>
          <w:rFonts w:ascii="Verdana" w:hAnsi="Verdana"/>
          <w:sz w:val="20"/>
          <w:szCs w:val="20"/>
        </w:rPr>
        <w:t xml:space="preserve">reer, life and wellbeing </w:t>
      </w:r>
      <w:r w:rsidR="004F29AC" w:rsidRPr="004F7DF5">
        <w:rPr>
          <w:rFonts w:ascii="Verdana" w:hAnsi="Verdana"/>
          <w:sz w:val="20"/>
          <w:szCs w:val="20"/>
        </w:rPr>
        <w:t>choices</w:t>
      </w:r>
      <w:r w:rsidRPr="004F7DF5">
        <w:rPr>
          <w:rFonts w:ascii="Verdana" w:hAnsi="Verdana"/>
          <w:sz w:val="20"/>
          <w:szCs w:val="20"/>
        </w:rPr>
        <w:t>. By these means we aim to increase the individual’s chances of leading a happy and fulfilled working life,</w:t>
      </w:r>
      <w:r w:rsidR="00057968" w:rsidRPr="004F7DF5">
        <w:rPr>
          <w:rFonts w:ascii="Verdana" w:hAnsi="Verdana"/>
          <w:sz w:val="20"/>
          <w:szCs w:val="20"/>
        </w:rPr>
        <w:t xml:space="preserve"> while</w:t>
      </w:r>
      <w:r w:rsidRPr="004F7DF5">
        <w:rPr>
          <w:rFonts w:ascii="Verdana" w:hAnsi="Verdana"/>
          <w:sz w:val="20"/>
          <w:szCs w:val="20"/>
        </w:rPr>
        <w:t xml:space="preserve"> contributing their skills to the health of the economy and of </w:t>
      </w:r>
      <w:r w:rsidR="004F29AC" w:rsidRPr="004F7DF5">
        <w:rPr>
          <w:rFonts w:ascii="Verdana" w:hAnsi="Verdana"/>
          <w:sz w:val="20"/>
          <w:szCs w:val="20"/>
        </w:rPr>
        <w:t xml:space="preserve">society. </w:t>
      </w:r>
    </w:p>
    <w:p w14:paraId="442B911E" w14:textId="77777777" w:rsidR="00B93EB9" w:rsidRPr="004F7DF5" w:rsidRDefault="00B93EB9">
      <w:pPr>
        <w:rPr>
          <w:rFonts w:ascii="Verdana" w:hAnsi="Verdana"/>
          <w:sz w:val="20"/>
          <w:szCs w:val="20"/>
        </w:rPr>
      </w:pPr>
    </w:p>
    <w:p w14:paraId="5D7AF88F" w14:textId="77777777" w:rsidR="004F29AC" w:rsidRPr="004F7DF5" w:rsidRDefault="004F29AC">
      <w:pPr>
        <w:rPr>
          <w:rFonts w:ascii="Verdana" w:hAnsi="Verdana"/>
          <w:sz w:val="20"/>
          <w:szCs w:val="20"/>
        </w:rPr>
      </w:pPr>
    </w:p>
    <w:p w14:paraId="43F8B81D" w14:textId="225114EA" w:rsidR="004F29AC" w:rsidRPr="004F7DF5" w:rsidRDefault="004F29AC" w:rsidP="005F3177">
      <w:pPr>
        <w:pStyle w:val="ListParagraph"/>
        <w:numPr>
          <w:ilvl w:val="0"/>
          <w:numId w:val="1"/>
        </w:numPr>
        <w:ind w:left="284"/>
        <w:rPr>
          <w:rFonts w:ascii="Verdana" w:hAnsi="Verdana"/>
          <w:b/>
          <w:bCs/>
          <w:sz w:val="20"/>
          <w:szCs w:val="20"/>
        </w:rPr>
      </w:pPr>
      <w:r w:rsidRPr="004F7DF5">
        <w:rPr>
          <w:rFonts w:ascii="Verdana" w:hAnsi="Verdana"/>
          <w:b/>
          <w:bCs/>
          <w:sz w:val="20"/>
          <w:szCs w:val="20"/>
        </w:rPr>
        <w:t>Definitions:</w:t>
      </w:r>
    </w:p>
    <w:p w14:paraId="3821EF84" w14:textId="77777777" w:rsidR="004F29AC" w:rsidRPr="004F7DF5" w:rsidRDefault="004F29AC" w:rsidP="004F29AC">
      <w:pPr>
        <w:rPr>
          <w:rFonts w:ascii="Verdana" w:hAnsi="Verdana"/>
          <w:b/>
          <w:bCs/>
          <w:sz w:val="20"/>
          <w:szCs w:val="20"/>
        </w:rPr>
      </w:pPr>
    </w:p>
    <w:p w14:paraId="5FD46D1B" w14:textId="4EED2ACF" w:rsidR="00010007" w:rsidRPr="004F7DF5" w:rsidRDefault="004F29AC" w:rsidP="004F29AC">
      <w:pPr>
        <w:rPr>
          <w:rFonts w:ascii="Verdana" w:hAnsi="Verdana"/>
          <w:sz w:val="20"/>
          <w:szCs w:val="20"/>
        </w:rPr>
      </w:pPr>
      <w:r w:rsidRPr="004F7DF5">
        <w:rPr>
          <w:rFonts w:ascii="Verdana" w:hAnsi="Verdana"/>
          <w:b/>
          <w:bCs/>
          <w:sz w:val="20"/>
          <w:szCs w:val="20"/>
        </w:rPr>
        <w:t>Careers Education</w:t>
      </w:r>
      <w:r w:rsidRPr="004F7DF5">
        <w:rPr>
          <w:rFonts w:ascii="Verdana" w:hAnsi="Verdana"/>
          <w:sz w:val="20"/>
          <w:szCs w:val="20"/>
        </w:rPr>
        <w:t xml:space="preserve"> is a programme of activities</w:t>
      </w:r>
      <w:r w:rsidR="00010007" w:rsidRPr="004F7DF5">
        <w:rPr>
          <w:rFonts w:ascii="Verdana" w:hAnsi="Verdana"/>
          <w:sz w:val="20"/>
          <w:szCs w:val="20"/>
        </w:rPr>
        <w:t xml:space="preserve"> throughout a student</w:t>
      </w:r>
      <w:r w:rsidR="00260DDA" w:rsidRPr="004F7DF5">
        <w:rPr>
          <w:rFonts w:ascii="Verdana" w:hAnsi="Verdana"/>
          <w:sz w:val="20"/>
          <w:szCs w:val="20"/>
        </w:rPr>
        <w:t>’</w:t>
      </w:r>
      <w:r w:rsidR="00010007" w:rsidRPr="004F7DF5">
        <w:rPr>
          <w:rFonts w:ascii="Verdana" w:hAnsi="Verdana"/>
          <w:sz w:val="20"/>
          <w:szCs w:val="20"/>
        </w:rPr>
        <w:t>s course</w:t>
      </w:r>
      <w:r w:rsidRPr="004F7DF5">
        <w:rPr>
          <w:rFonts w:ascii="Verdana" w:hAnsi="Verdana"/>
          <w:sz w:val="20"/>
          <w:szCs w:val="20"/>
        </w:rPr>
        <w:t xml:space="preserve"> which helps </w:t>
      </w:r>
      <w:r w:rsidR="00010007" w:rsidRPr="004F7DF5">
        <w:rPr>
          <w:rFonts w:ascii="Verdana" w:hAnsi="Verdana"/>
          <w:sz w:val="20"/>
          <w:szCs w:val="20"/>
        </w:rPr>
        <w:t xml:space="preserve">them </w:t>
      </w:r>
      <w:r w:rsidRPr="004F7DF5">
        <w:rPr>
          <w:rFonts w:ascii="Verdana" w:hAnsi="Verdana"/>
          <w:sz w:val="20"/>
          <w:szCs w:val="20"/>
        </w:rPr>
        <w:t xml:space="preserve">to develop the knowledge and skills they need to make successful choices, manage transition in learning and move into work. </w:t>
      </w:r>
    </w:p>
    <w:p w14:paraId="5CB3BC7C" w14:textId="2AF23A66" w:rsidR="00010007" w:rsidRPr="004F7DF5" w:rsidRDefault="00010007" w:rsidP="004F29AC">
      <w:pPr>
        <w:rPr>
          <w:rFonts w:ascii="Verdana" w:hAnsi="Verdana"/>
          <w:sz w:val="20"/>
          <w:szCs w:val="20"/>
        </w:rPr>
      </w:pPr>
    </w:p>
    <w:p w14:paraId="1023EDB4" w14:textId="73730286" w:rsidR="00010007" w:rsidRPr="004F7DF5" w:rsidRDefault="00010007" w:rsidP="004F29AC">
      <w:pPr>
        <w:rPr>
          <w:rFonts w:ascii="Verdana" w:hAnsi="Verdana"/>
          <w:sz w:val="20"/>
          <w:szCs w:val="20"/>
        </w:rPr>
      </w:pPr>
      <w:r w:rsidRPr="004F7DF5">
        <w:rPr>
          <w:rFonts w:ascii="Verdana" w:hAnsi="Verdana"/>
          <w:sz w:val="20"/>
          <w:szCs w:val="20"/>
        </w:rPr>
        <w:t xml:space="preserve">The three main aims of careers education </w:t>
      </w:r>
      <w:r w:rsidR="00B150E5" w:rsidRPr="004F7DF5">
        <w:rPr>
          <w:rFonts w:ascii="Verdana" w:hAnsi="Verdana"/>
          <w:sz w:val="20"/>
          <w:szCs w:val="20"/>
        </w:rPr>
        <w:t>are:</w:t>
      </w:r>
    </w:p>
    <w:p w14:paraId="1956B8C6" w14:textId="77777777" w:rsidR="00010007" w:rsidRPr="004F7DF5" w:rsidRDefault="004F29AC" w:rsidP="00010007">
      <w:pPr>
        <w:pStyle w:val="ListParagraph"/>
        <w:numPr>
          <w:ilvl w:val="0"/>
          <w:numId w:val="3"/>
        </w:numPr>
        <w:rPr>
          <w:rFonts w:ascii="Verdana" w:hAnsi="Verdana"/>
          <w:sz w:val="20"/>
          <w:szCs w:val="20"/>
        </w:rPr>
      </w:pPr>
      <w:r w:rsidRPr="004F7DF5">
        <w:rPr>
          <w:rFonts w:ascii="Verdana" w:hAnsi="Verdana"/>
          <w:sz w:val="20"/>
          <w:szCs w:val="20"/>
        </w:rPr>
        <w:t xml:space="preserve">Self-development- students understand themselves and the influences on them. </w:t>
      </w:r>
    </w:p>
    <w:p w14:paraId="79AB5E5E" w14:textId="77777777" w:rsidR="00010007" w:rsidRPr="004F7DF5" w:rsidRDefault="004F29AC" w:rsidP="00010007">
      <w:pPr>
        <w:pStyle w:val="ListParagraph"/>
        <w:numPr>
          <w:ilvl w:val="0"/>
          <w:numId w:val="3"/>
        </w:numPr>
        <w:rPr>
          <w:rFonts w:ascii="Verdana" w:hAnsi="Verdana"/>
          <w:sz w:val="20"/>
          <w:szCs w:val="20"/>
        </w:rPr>
      </w:pPr>
      <w:r w:rsidRPr="004F7DF5">
        <w:rPr>
          <w:rFonts w:ascii="Verdana" w:hAnsi="Verdana"/>
          <w:sz w:val="20"/>
          <w:szCs w:val="20"/>
        </w:rPr>
        <w:t xml:space="preserve">Career exploration- students investigate opportunities in learning and work. </w:t>
      </w:r>
    </w:p>
    <w:p w14:paraId="622B41DB" w14:textId="69D2DCF3" w:rsidR="00010007" w:rsidRPr="004F7DF5" w:rsidRDefault="004F29AC" w:rsidP="00010007">
      <w:pPr>
        <w:pStyle w:val="ListParagraph"/>
        <w:numPr>
          <w:ilvl w:val="0"/>
          <w:numId w:val="3"/>
        </w:numPr>
        <w:rPr>
          <w:rFonts w:ascii="Verdana" w:hAnsi="Verdana"/>
          <w:sz w:val="20"/>
          <w:szCs w:val="20"/>
        </w:rPr>
      </w:pPr>
      <w:r w:rsidRPr="004F7DF5">
        <w:rPr>
          <w:rFonts w:ascii="Verdana" w:hAnsi="Verdana"/>
          <w:sz w:val="20"/>
          <w:szCs w:val="20"/>
        </w:rPr>
        <w:t>Career management- students make and adjust plans to manage change and transition</w:t>
      </w:r>
      <w:r w:rsidR="00010007" w:rsidRPr="004F7DF5">
        <w:rPr>
          <w:rFonts w:ascii="Verdana" w:hAnsi="Verdana"/>
          <w:sz w:val="20"/>
          <w:szCs w:val="20"/>
        </w:rPr>
        <w:t xml:space="preserve"> and feel confident to take a leading and informed role with their own career choices. </w:t>
      </w:r>
    </w:p>
    <w:p w14:paraId="4527B5CB" w14:textId="77777777" w:rsidR="00010007" w:rsidRPr="004F7DF5" w:rsidRDefault="00010007" w:rsidP="004F29AC">
      <w:pPr>
        <w:rPr>
          <w:rFonts w:ascii="Verdana" w:hAnsi="Verdana"/>
          <w:sz w:val="20"/>
          <w:szCs w:val="20"/>
        </w:rPr>
      </w:pPr>
    </w:p>
    <w:p w14:paraId="0F51A9DF" w14:textId="4532E31F" w:rsidR="00010007" w:rsidRPr="004F7DF5" w:rsidRDefault="004F29AC" w:rsidP="004F29AC">
      <w:pPr>
        <w:rPr>
          <w:rFonts w:ascii="Verdana" w:hAnsi="Verdana"/>
          <w:sz w:val="20"/>
          <w:szCs w:val="20"/>
        </w:rPr>
      </w:pPr>
      <w:r w:rsidRPr="004F7DF5">
        <w:rPr>
          <w:rFonts w:ascii="Verdana" w:hAnsi="Verdana"/>
          <w:b/>
          <w:bCs/>
          <w:sz w:val="20"/>
          <w:szCs w:val="20"/>
        </w:rPr>
        <w:t>Careers Guidance</w:t>
      </w:r>
      <w:r w:rsidRPr="004F7DF5">
        <w:rPr>
          <w:rFonts w:ascii="Verdana" w:hAnsi="Verdana"/>
          <w:sz w:val="20"/>
          <w:szCs w:val="20"/>
        </w:rPr>
        <w:t xml:space="preserve"> </w:t>
      </w:r>
      <w:r w:rsidR="00010007" w:rsidRPr="004F7DF5">
        <w:rPr>
          <w:rFonts w:ascii="Verdana" w:hAnsi="Verdana"/>
          <w:sz w:val="20"/>
          <w:szCs w:val="20"/>
        </w:rPr>
        <w:t>provides students with the</w:t>
      </w:r>
      <w:r w:rsidR="00B150E5" w:rsidRPr="004F7DF5">
        <w:rPr>
          <w:rFonts w:ascii="Verdana" w:hAnsi="Verdana"/>
          <w:sz w:val="20"/>
          <w:szCs w:val="20"/>
        </w:rPr>
        <w:t xml:space="preserve"> support and </w:t>
      </w:r>
      <w:r w:rsidR="00010007" w:rsidRPr="004F7DF5">
        <w:rPr>
          <w:rFonts w:ascii="Verdana" w:hAnsi="Verdana"/>
          <w:sz w:val="20"/>
          <w:szCs w:val="20"/>
        </w:rPr>
        <w:t xml:space="preserve">information they require to enable them to make informed decisions. This will be provided throughout the </w:t>
      </w:r>
      <w:r w:rsidR="00F73614" w:rsidRPr="004F7DF5">
        <w:rPr>
          <w:rFonts w:ascii="Verdana" w:hAnsi="Verdana"/>
          <w:sz w:val="20"/>
          <w:szCs w:val="20"/>
        </w:rPr>
        <w:t>K</w:t>
      </w:r>
      <w:r w:rsidR="00010007" w:rsidRPr="004F7DF5">
        <w:rPr>
          <w:rFonts w:ascii="Verdana" w:hAnsi="Verdana"/>
          <w:sz w:val="20"/>
          <w:szCs w:val="20"/>
        </w:rPr>
        <w:t xml:space="preserve">ey </w:t>
      </w:r>
      <w:r w:rsidR="00F73614" w:rsidRPr="004F7DF5">
        <w:rPr>
          <w:rFonts w:ascii="Verdana" w:hAnsi="Verdana"/>
          <w:sz w:val="20"/>
          <w:szCs w:val="20"/>
        </w:rPr>
        <w:t>C</w:t>
      </w:r>
      <w:r w:rsidR="00010007" w:rsidRPr="004F7DF5">
        <w:rPr>
          <w:rFonts w:ascii="Verdana" w:hAnsi="Verdana"/>
          <w:sz w:val="20"/>
          <w:szCs w:val="20"/>
        </w:rPr>
        <w:t>ollege year by providing our students with opportunities that introduce them to new and unfamiliar experiences. Activities will also be focussed on students</w:t>
      </w:r>
      <w:r w:rsidR="00260DDA" w:rsidRPr="004F7DF5">
        <w:rPr>
          <w:rFonts w:ascii="Verdana" w:hAnsi="Verdana"/>
          <w:sz w:val="20"/>
          <w:szCs w:val="20"/>
        </w:rPr>
        <w:t>’</w:t>
      </w:r>
      <w:r w:rsidR="00010007" w:rsidRPr="004F7DF5">
        <w:rPr>
          <w:rFonts w:ascii="Verdana" w:hAnsi="Verdana"/>
          <w:sz w:val="20"/>
          <w:szCs w:val="20"/>
        </w:rPr>
        <w:t xml:space="preserve"> interests that are identified within their student reviews and through </w:t>
      </w:r>
      <w:r w:rsidR="00BF4D04" w:rsidRPr="004F7DF5">
        <w:rPr>
          <w:rFonts w:ascii="Verdana" w:hAnsi="Verdana"/>
          <w:color w:val="000000" w:themeColor="text1"/>
          <w:sz w:val="20"/>
          <w:szCs w:val="20"/>
        </w:rPr>
        <w:t xml:space="preserve">use of </w:t>
      </w:r>
      <w:r w:rsidR="00010007" w:rsidRPr="004F7DF5">
        <w:rPr>
          <w:rFonts w:ascii="Verdana" w:hAnsi="Verdana"/>
          <w:sz w:val="20"/>
          <w:szCs w:val="20"/>
        </w:rPr>
        <w:t xml:space="preserve">the IAG handbook. </w:t>
      </w:r>
    </w:p>
    <w:p w14:paraId="3DD20614" w14:textId="77777777" w:rsidR="00010007" w:rsidRPr="004F7DF5" w:rsidRDefault="00010007" w:rsidP="004F29AC">
      <w:pPr>
        <w:rPr>
          <w:rFonts w:ascii="Verdana" w:hAnsi="Verdana"/>
          <w:sz w:val="20"/>
          <w:szCs w:val="20"/>
        </w:rPr>
      </w:pPr>
    </w:p>
    <w:p w14:paraId="3F06414A" w14:textId="7D0D674E" w:rsidR="004F29AC" w:rsidRPr="004F7DF5" w:rsidRDefault="004F29AC" w:rsidP="004F29AC">
      <w:pPr>
        <w:rPr>
          <w:rFonts w:ascii="Verdana" w:hAnsi="Verdana"/>
          <w:sz w:val="20"/>
          <w:szCs w:val="20"/>
        </w:rPr>
      </w:pPr>
      <w:r w:rsidRPr="004F7DF5">
        <w:rPr>
          <w:rFonts w:ascii="Verdana" w:hAnsi="Verdana"/>
          <w:b/>
          <w:bCs/>
          <w:sz w:val="20"/>
          <w:szCs w:val="20"/>
        </w:rPr>
        <w:t>Careers information</w:t>
      </w:r>
      <w:r w:rsidRPr="004F7DF5">
        <w:rPr>
          <w:rFonts w:ascii="Verdana" w:hAnsi="Verdana"/>
          <w:sz w:val="20"/>
          <w:szCs w:val="20"/>
        </w:rPr>
        <w:t xml:space="preserve"> supports the delivery of careers education and guidance by providing access to a range of up-to date information in a variety of formats. </w:t>
      </w:r>
      <w:r w:rsidR="00010007" w:rsidRPr="004F7DF5">
        <w:rPr>
          <w:rFonts w:ascii="Verdana" w:hAnsi="Verdana"/>
          <w:sz w:val="20"/>
          <w:szCs w:val="20"/>
        </w:rPr>
        <w:t xml:space="preserve">Careers information will be visible at all sites and what information is provided to students will be monitored and assessed throughout a </w:t>
      </w:r>
      <w:r w:rsidR="00B150E5" w:rsidRPr="004F7DF5">
        <w:rPr>
          <w:rFonts w:ascii="Verdana" w:hAnsi="Verdana"/>
          <w:sz w:val="20"/>
          <w:szCs w:val="20"/>
        </w:rPr>
        <w:t xml:space="preserve">student’s </w:t>
      </w:r>
      <w:r w:rsidR="00010007" w:rsidRPr="004F7DF5">
        <w:rPr>
          <w:rFonts w:ascii="Verdana" w:hAnsi="Verdana"/>
          <w:sz w:val="20"/>
          <w:szCs w:val="20"/>
        </w:rPr>
        <w:t>programme</w:t>
      </w:r>
      <w:r w:rsidR="00B150E5" w:rsidRPr="004F7DF5">
        <w:rPr>
          <w:rFonts w:ascii="Verdana" w:hAnsi="Verdana"/>
          <w:sz w:val="20"/>
          <w:szCs w:val="20"/>
        </w:rPr>
        <w:t xml:space="preserve"> of learning.</w:t>
      </w:r>
      <w:r w:rsidR="00F73614" w:rsidRPr="004F7DF5">
        <w:rPr>
          <w:rFonts w:ascii="Verdana" w:hAnsi="Verdana"/>
          <w:sz w:val="20"/>
          <w:szCs w:val="20"/>
        </w:rPr>
        <w:t xml:space="preserve"> Careers information will always be accessible via Key College website and visible to parents/guardians. </w:t>
      </w:r>
    </w:p>
    <w:p w14:paraId="67A3AF10" w14:textId="77777777" w:rsidR="00060E4D" w:rsidRPr="004F7DF5" w:rsidRDefault="00060E4D" w:rsidP="004F29AC">
      <w:pPr>
        <w:rPr>
          <w:rFonts w:ascii="Verdana" w:hAnsi="Verdana"/>
          <w:sz w:val="20"/>
          <w:szCs w:val="20"/>
        </w:rPr>
      </w:pPr>
    </w:p>
    <w:p w14:paraId="7CC9A1E7" w14:textId="09E7D281" w:rsidR="00060E4D" w:rsidRPr="004F7DF5" w:rsidRDefault="00060E4D" w:rsidP="004F29AC">
      <w:pPr>
        <w:rPr>
          <w:rFonts w:ascii="Verdana" w:hAnsi="Verdana"/>
          <w:b/>
          <w:bCs/>
          <w:sz w:val="20"/>
          <w:szCs w:val="20"/>
        </w:rPr>
      </w:pPr>
      <w:r w:rsidRPr="004F7DF5">
        <w:rPr>
          <w:rFonts w:ascii="Verdana" w:hAnsi="Verdana"/>
          <w:b/>
          <w:bCs/>
          <w:sz w:val="20"/>
          <w:szCs w:val="20"/>
        </w:rPr>
        <w:t>Cultural Capital</w:t>
      </w:r>
    </w:p>
    <w:p w14:paraId="5492A767" w14:textId="77777777" w:rsidR="00060E4D" w:rsidRPr="004F7DF5" w:rsidRDefault="00060E4D" w:rsidP="004F29AC">
      <w:pPr>
        <w:rPr>
          <w:rFonts w:ascii="Verdana" w:hAnsi="Verdana"/>
          <w:b/>
          <w:bCs/>
          <w:sz w:val="20"/>
          <w:szCs w:val="20"/>
        </w:rPr>
      </w:pPr>
    </w:p>
    <w:p w14:paraId="6DA32E23" w14:textId="77777777" w:rsidR="00060E4D" w:rsidRPr="004F7DF5" w:rsidRDefault="00060E4D" w:rsidP="004F29AC">
      <w:pPr>
        <w:rPr>
          <w:rFonts w:ascii="Verdana" w:hAnsi="Verdana"/>
          <w:b/>
          <w:bCs/>
          <w:sz w:val="20"/>
          <w:szCs w:val="20"/>
        </w:rPr>
      </w:pPr>
    </w:p>
    <w:p w14:paraId="621B7D17" w14:textId="77777777" w:rsidR="00B93EB9" w:rsidRPr="004F7DF5" w:rsidRDefault="00B93EB9">
      <w:pPr>
        <w:rPr>
          <w:rFonts w:ascii="Verdana" w:hAnsi="Verdana"/>
          <w:sz w:val="20"/>
          <w:szCs w:val="20"/>
        </w:rPr>
      </w:pPr>
    </w:p>
    <w:p w14:paraId="41931A48" w14:textId="27E86017" w:rsidR="00B93EB9" w:rsidRPr="004F7DF5" w:rsidRDefault="00B150E5" w:rsidP="00796E5C">
      <w:pPr>
        <w:pStyle w:val="ListParagraph"/>
        <w:numPr>
          <w:ilvl w:val="0"/>
          <w:numId w:val="1"/>
        </w:numPr>
        <w:ind w:left="284"/>
        <w:rPr>
          <w:rFonts w:ascii="Verdana" w:hAnsi="Verdana"/>
          <w:b/>
          <w:bCs/>
          <w:sz w:val="20"/>
          <w:szCs w:val="20"/>
        </w:rPr>
      </w:pPr>
      <w:r w:rsidRPr="004F7DF5">
        <w:rPr>
          <w:rFonts w:ascii="Verdana" w:hAnsi="Verdana"/>
          <w:b/>
          <w:bCs/>
          <w:sz w:val="20"/>
          <w:szCs w:val="20"/>
        </w:rPr>
        <w:t>Student entitlement</w:t>
      </w:r>
      <w:r w:rsidR="00B93EB9" w:rsidRPr="004F7DF5">
        <w:rPr>
          <w:rFonts w:ascii="Verdana" w:hAnsi="Verdana"/>
          <w:b/>
          <w:bCs/>
          <w:sz w:val="20"/>
          <w:szCs w:val="20"/>
        </w:rPr>
        <w:t>:</w:t>
      </w:r>
      <w:r w:rsidR="00B93EB9" w:rsidRPr="004F7DF5">
        <w:rPr>
          <w:rFonts w:ascii="Verdana" w:hAnsi="Verdana"/>
          <w:sz w:val="20"/>
          <w:szCs w:val="20"/>
        </w:rPr>
        <w:t xml:space="preserve"> </w:t>
      </w:r>
    </w:p>
    <w:p w14:paraId="34C31D7F" w14:textId="77777777" w:rsidR="00B93EB9" w:rsidRPr="004F7DF5" w:rsidRDefault="00B93EB9">
      <w:pPr>
        <w:rPr>
          <w:rFonts w:ascii="Verdana" w:hAnsi="Verdana"/>
          <w:sz w:val="20"/>
          <w:szCs w:val="20"/>
        </w:rPr>
      </w:pPr>
    </w:p>
    <w:p w14:paraId="4CA297AF" w14:textId="5C9EEDFE" w:rsidR="00B93EB9" w:rsidRPr="004F7DF5" w:rsidRDefault="00B93EB9">
      <w:pPr>
        <w:rPr>
          <w:rFonts w:ascii="Verdana" w:hAnsi="Verdana"/>
          <w:sz w:val="20"/>
          <w:szCs w:val="20"/>
        </w:rPr>
      </w:pPr>
      <w:r w:rsidRPr="004F7DF5">
        <w:rPr>
          <w:rFonts w:ascii="Verdana" w:hAnsi="Verdana"/>
          <w:sz w:val="20"/>
          <w:szCs w:val="20"/>
        </w:rPr>
        <w:t>Aim:</w:t>
      </w:r>
    </w:p>
    <w:p w14:paraId="6D3833C1" w14:textId="2F58E5C5" w:rsidR="00B93EB9" w:rsidRPr="004F7DF5" w:rsidRDefault="00B93EB9" w:rsidP="00B93EB9">
      <w:pPr>
        <w:pStyle w:val="ListParagraph"/>
        <w:numPr>
          <w:ilvl w:val="0"/>
          <w:numId w:val="2"/>
        </w:numPr>
        <w:rPr>
          <w:rFonts w:ascii="Verdana" w:hAnsi="Verdana"/>
          <w:sz w:val="20"/>
          <w:szCs w:val="20"/>
        </w:rPr>
      </w:pPr>
      <w:r w:rsidRPr="004F7DF5">
        <w:rPr>
          <w:rFonts w:ascii="Verdana" w:hAnsi="Verdana"/>
          <w:sz w:val="20"/>
          <w:szCs w:val="20"/>
        </w:rPr>
        <w:t xml:space="preserve">Improve the success, </w:t>
      </w:r>
      <w:r w:rsidR="00010007" w:rsidRPr="004F7DF5">
        <w:rPr>
          <w:rFonts w:ascii="Verdana" w:hAnsi="Verdana"/>
          <w:sz w:val="20"/>
          <w:szCs w:val="20"/>
        </w:rPr>
        <w:t>progress</w:t>
      </w:r>
      <w:r w:rsidR="00B150E5" w:rsidRPr="004F7DF5">
        <w:rPr>
          <w:rFonts w:ascii="Verdana" w:hAnsi="Verdana"/>
          <w:sz w:val="20"/>
          <w:szCs w:val="20"/>
        </w:rPr>
        <w:t>ion,</w:t>
      </w:r>
      <w:r w:rsidR="00F73614" w:rsidRPr="004F7DF5">
        <w:rPr>
          <w:rFonts w:ascii="Verdana" w:hAnsi="Verdana"/>
          <w:sz w:val="20"/>
          <w:szCs w:val="20"/>
        </w:rPr>
        <w:t xml:space="preserve"> knowledge</w:t>
      </w:r>
      <w:r w:rsidRPr="004F7DF5">
        <w:rPr>
          <w:rFonts w:ascii="Verdana" w:hAnsi="Verdana"/>
          <w:sz w:val="20"/>
          <w:szCs w:val="20"/>
        </w:rPr>
        <w:t xml:space="preserve"> and employability</w:t>
      </w:r>
      <w:r w:rsidR="00F73614" w:rsidRPr="004F7DF5">
        <w:rPr>
          <w:rFonts w:ascii="Verdana" w:hAnsi="Verdana"/>
          <w:sz w:val="20"/>
          <w:szCs w:val="20"/>
        </w:rPr>
        <w:t xml:space="preserve"> skills</w:t>
      </w:r>
      <w:r w:rsidRPr="004F7DF5">
        <w:rPr>
          <w:rFonts w:ascii="Verdana" w:hAnsi="Verdana"/>
          <w:sz w:val="20"/>
          <w:szCs w:val="20"/>
        </w:rPr>
        <w:t xml:space="preserve"> of our students through access to high quality IAG and appropriate and aspirational learning opportunities.</w:t>
      </w:r>
      <w:r w:rsidR="00F73614" w:rsidRPr="004F7DF5">
        <w:rPr>
          <w:rFonts w:ascii="Verdana" w:hAnsi="Verdana"/>
          <w:sz w:val="20"/>
          <w:szCs w:val="20"/>
        </w:rPr>
        <w:t xml:space="preserve"> This is so learners can make informed independent decisions on their own future. </w:t>
      </w:r>
    </w:p>
    <w:p w14:paraId="6479FD70" w14:textId="77777777" w:rsidR="004F29AC" w:rsidRPr="004F7DF5" w:rsidRDefault="004F29AC" w:rsidP="004F29AC">
      <w:pPr>
        <w:pStyle w:val="ListParagraph"/>
        <w:rPr>
          <w:rFonts w:ascii="Verdana" w:hAnsi="Verdana"/>
          <w:sz w:val="20"/>
          <w:szCs w:val="20"/>
        </w:rPr>
      </w:pPr>
    </w:p>
    <w:p w14:paraId="0681C1CE" w14:textId="1F99F153" w:rsidR="00B93EB9" w:rsidRPr="004F7DF5" w:rsidRDefault="00B93EB9" w:rsidP="00B93EB9">
      <w:pPr>
        <w:rPr>
          <w:rFonts w:ascii="Verdana" w:hAnsi="Verdana"/>
          <w:sz w:val="20"/>
          <w:szCs w:val="20"/>
        </w:rPr>
      </w:pPr>
      <w:r w:rsidRPr="004F7DF5">
        <w:rPr>
          <w:rFonts w:ascii="Verdana" w:hAnsi="Verdana"/>
          <w:sz w:val="20"/>
          <w:szCs w:val="20"/>
        </w:rPr>
        <w:t>Objectives:</w:t>
      </w:r>
      <w:r w:rsidR="005F3177" w:rsidRPr="004F7DF5">
        <w:rPr>
          <w:rFonts w:ascii="Verdana" w:hAnsi="Verdana"/>
          <w:sz w:val="20"/>
          <w:szCs w:val="20"/>
        </w:rPr>
        <w:t xml:space="preserve"> </w:t>
      </w:r>
    </w:p>
    <w:p w14:paraId="3EB29349" w14:textId="4CBB131F" w:rsidR="00010007" w:rsidRPr="004F7DF5" w:rsidRDefault="00010007" w:rsidP="00010007">
      <w:pPr>
        <w:pStyle w:val="ListParagraph"/>
        <w:numPr>
          <w:ilvl w:val="0"/>
          <w:numId w:val="2"/>
        </w:numPr>
        <w:rPr>
          <w:rFonts w:ascii="Verdana" w:hAnsi="Verdana"/>
          <w:sz w:val="20"/>
          <w:szCs w:val="20"/>
        </w:rPr>
      </w:pPr>
      <w:r w:rsidRPr="004F7DF5">
        <w:rPr>
          <w:rFonts w:ascii="Verdana" w:hAnsi="Verdana"/>
          <w:sz w:val="20"/>
          <w:szCs w:val="20"/>
        </w:rPr>
        <w:t xml:space="preserve">All students to be provided with a student handbook that supports them with career </w:t>
      </w:r>
      <w:r w:rsidR="00B150E5" w:rsidRPr="004F7DF5">
        <w:rPr>
          <w:rFonts w:ascii="Verdana" w:hAnsi="Verdana"/>
          <w:sz w:val="20"/>
          <w:szCs w:val="20"/>
        </w:rPr>
        <w:t xml:space="preserve">planning and </w:t>
      </w:r>
      <w:r w:rsidRPr="004F7DF5">
        <w:rPr>
          <w:rFonts w:ascii="Verdana" w:hAnsi="Verdana"/>
          <w:sz w:val="20"/>
          <w:szCs w:val="20"/>
        </w:rPr>
        <w:t xml:space="preserve">progression throughout their programme and beyond. </w:t>
      </w:r>
    </w:p>
    <w:p w14:paraId="7208A52B" w14:textId="715520F0" w:rsidR="00B93EB9" w:rsidRPr="004F7DF5" w:rsidRDefault="00B93EB9" w:rsidP="00B93EB9">
      <w:pPr>
        <w:pStyle w:val="ListParagraph"/>
        <w:numPr>
          <w:ilvl w:val="0"/>
          <w:numId w:val="2"/>
        </w:numPr>
        <w:rPr>
          <w:rFonts w:ascii="Verdana" w:hAnsi="Verdana"/>
          <w:sz w:val="20"/>
          <w:szCs w:val="20"/>
        </w:rPr>
      </w:pPr>
      <w:r w:rsidRPr="004F7DF5">
        <w:rPr>
          <w:rFonts w:ascii="Verdana" w:hAnsi="Verdana"/>
          <w:sz w:val="20"/>
          <w:szCs w:val="20"/>
        </w:rPr>
        <w:t>Build confidence</w:t>
      </w:r>
      <w:r w:rsidR="00F73614" w:rsidRPr="004F7DF5">
        <w:rPr>
          <w:rFonts w:ascii="Verdana" w:hAnsi="Verdana"/>
          <w:sz w:val="20"/>
          <w:szCs w:val="20"/>
        </w:rPr>
        <w:t xml:space="preserve"> &amp; resilience</w:t>
      </w:r>
      <w:r w:rsidRPr="004F7DF5">
        <w:rPr>
          <w:rFonts w:ascii="Verdana" w:hAnsi="Verdana"/>
          <w:sz w:val="20"/>
          <w:szCs w:val="20"/>
        </w:rPr>
        <w:t xml:space="preserve"> in our students</w:t>
      </w:r>
      <w:r w:rsidR="00F73614" w:rsidRPr="004F7DF5">
        <w:rPr>
          <w:rFonts w:ascii="Verdana" w:hAnsi="Verdana"/>
          <w:sz w:val="20"/>
          <w:szCs w:val="20"/>
        </w:rPr>
        <w:t xml:space="preserve">. </w:t>
      </w:r>
    </w:p>
    <w:p w14:paraId="5707E825" w14:textId="57093E41" w:rsidR="00B93EB9" w:rsidRPr="004F7DF5" w:rsidRDefault="00B93EB9" w:rsidP="00B93EB9">
      <w:pPr>
        <w:pStyle w:val="ListParagraph"/>
        <w:numPr>
          <w:ilvl w:val="0"/>
          <w:numId w:val="2"/>
        </w:numPr>
        <w:rPr>
          <w:rFonts w:ascii="Verdana" w:hAnsi="Verdana"/>
          <w:sz w:val="20"/>
          <w:szCs w:val="20"/>
        </w:rPr>
      </w:pPr>
      <w:r w:rsidRPr="004F7DF5">
        <w:rPr>
          <w:rFonts w:ascii="Verdana" w:hAnsi="Verdana"/>
          <w:sz w:val="20"/>
          <w:szCs w:val="20"/>
        </w:rPr>
        <w:t>Help students to identify their goals.</w:t>
      </w:r>
    </w:p>
    <w:p w14:paraId="75146D9F" w14:textId="40B55018" w:rsidR="00A31EA8" w:rsidRPr="004F7DF5" w:rsidRDefault="00A31EA8" w:rsidP="00A31EA8">
      <w:pPr>
        <w:pStyle w:val="ListParagraph"/>
        <w:numPr>
          <w:ilvl w:val="0"/>
          <w:numId w:val="2"/>
        </w:numPr>
        <w:rPr>
          <w:rFonts w:ascii="Verdana" w:hAnsi="Verdana"/>
          <w:sz w:val="20"/>
          <w:szCs w:val="20"/>
        </w:rPr>
      </w:pPr>
      <w:r w:rsidRPr="004F7DF5">
        <w:rPr>
          <w:rFonts w:ascii="Verdana" w:hAnsi="Verdana"/>
          <w:sz w:val="20"/>
          <w:szCs w:val="20"/>
        </w:rPr>
        <w:lastRenderedPageBreak/>
        <w:t xml:space="preserve">Provide information and signposting learners to external health and wellbeing support including mental health &amp; sexual health. </w:t>
      </w:r>
    </w:p>
    <w:p w14:paraId="2A5C925D" w14:textId="1C7AC418" w:rsidR="00A31EA8" w:rsidRPr="004F7DF5" w:rsidRDefault="00A31EA8" w:rsidP="00B93EB9">
      <w:pPr>
        <w:pStyle w:val="ListParagraph"/>
        <w:numPr>
          <w:ilvl w:val="0"/>
          <w:numId w:val="2"/>
        </w:numPr>
        <w:rPr>
          <w:rFonts w:ascii="Verdana" w:hAnsi="Verdana"/>
          <w:sz w:val="20"/>
          <w:szCs w:val="20"/>
        </w:rPr>
      </w:pPr>
      <w:r w:rsidRPr="004F7DF5">
        <w:rPr>
          <w:rFonts w:ascii="Verdana" w:hAnsi="Verdana"/>
          <w:sz w:val="20"/>
          <w:szCs w:val="20"/>
        </w:rPr>
        <w:t xml:space="preserve">Provide initial IAG to learners who apply to Key College to ensure needs can be met and learners engage with appropriate programmes. </w:t>
      </w:r>
    </w:p>
    <w:p w14:paraId="3AEF5858" w14:textId="4B73B424" w:rsidR="00B93EB9" w:rsidRPr="004F7DF5" w:rsidRDefault="00B93EB9" w:rsidP="00B93EB9">
      <w:pPr>
        <w:pStyle w:val="ListParagraph"/>
        <w:numPr>
          <w:ilvl w:val="0"/>
          <w:numId w:val="2"/>
        </w:numPr>
        <w:rPr>
          <w:rFonts w:ascii="Verdana" w:hAnsi="Verdana"/>
          <w:sz w:val="20"/>
          <w:szCs w:val="20"/>
        </w:rPr>
      </w:pPr>
      <w:r w:rsidRPr="004F7DF5">
        <w:rPr>
          <w:rFonts w:ascii="Verdana" w:hAnsi="Verdana"/>
          <w:sz w:val="20"/>
          <w:szCs w:val="20"/>
        </w:rPr>
        <w:t>Motivate and inspire students to raise</w:t>
      </w:r>
      <w:r w:rsidR="00B150E5" w:rsidRPr="004F7DF5">
        <w:rPr>
          <w:rFonts w:ascii="Verdana" w:hAnsi="Verdana"/>
          <w:sz w:val="20"/>
          <w:szCs w:val="20"/>
        </w:rPr>
        <w:t xml:space="preserve"> their</w:t>
      </w:r>
      <w:r w:rsidR="005F3177" w:rsidRPr="004F7DF5">
        <w:rPr>
          <w:rFonts w:ascii="Verdana" w:hAnsi="Verdana"/>
          <w:sz w:val="20"/>
          <w:szCs w:val="20"/>
        </w:rPr>
        <w:t xml:space="preserve"> </w:t>
      </w:r>
      <w:r w:rsidRPr="004F7DF5">
        <w:rPr>
          <w:rFonts w:ascii="Verdana" w:hAnsi="Verdana"/>
          <w:sz w:val="20"/>
          <w:szCs w:val="20"/>
        </w:rPr>
        <w:t>aspirations.</w:t>
      </w:r>
    </w:p>
    <w:p w14:paraId="67EDF5B4" w14:textId="3911BC00" w:rsidR="00B93EB9" w:rsidRPr="004F7DF5" w:rsidRDefault="00B93EB9" w:rsidP="00B93EB9">
      <w:pPr>
        <w:pStyle w:val="ListParagraph"/>
        <w:numPr>
          <w:ilvl w:val="0"/>
          <w:numId w:val="2"/>
        </w:numPr>
        <w:rPr>
          <w:rFonts w:ascii="Verdana" w:hAnsi="Verdana"/>
          <w:sz w:val="20"/>
          <w:szCs w:val="20"/>
        </w:rPr>
      </w:pPr>
      <w:r w:rsidRPr="004F7DF5">
        <w:rPr>
          <w:rFonts w:ascii="Verdana" w:hAnsi="Verdana"/>
          <w:sz w:val="20"/>
          <w:szCs w:val="20"/>
        </w:rPr>
        <w:t xml:space="preserve">Inform students </w:t>
      </w:r>
      <w:r w:rsidR="00F73614" w:rsidRPr="004F7DF5">
        <w:rPr>
          <w:rFonts w:ascii="Verdana" w:hAnsi="Verdana"/>
          <w:sz w:val="20"/>
          <w:szCs w:val="20"/>
        </w:rPr>
        <w:t xml:space="preserve">of the </w:t>
      </w:r>
      <w:r w:rsidR="00010007" w:rsidRPr="004F7DF5">
        <w:rPr>
          <w:rFonts w:ascii="Verdana" w:hAnsi="Verdana"/>
          <w:sz w:val="20"/>
          <w:szCs w:val="20"/>
        </w:rPr>
        <w:t xml:space="preserve">wide </w:t>
      </w:r>
      <w:r w:rsidRPr="004F7DF5">
        <w:rPr>
          <w:rFonts w:ascii="Verdana" w:hAnsi="Verdana"/>
          <w:sz w:val="20"/>
          <w:szCs w:val="20"/>
        </w:rPr>
        <w:t xml:space="preserve">range of education, </w:t>
      </w:r>
      <w:r w:rsidR="00010007" w:rsidRPr="004F7DF5">
        <w:rPr>
          <w:rFonts w:ascii="Verdana" w:hAnsi="Verdana"/>
          <w:sz w:val="20"/>
          <w:szCs w:val="20"/>
        </w:rPr>
        <w:t>training,</w:t>
      </w:r>
      <w:r w:rsidRPr="004F7DF5">
        <w:rPr>
          <w:rFonts w:ascii="Verdana" w:hAnsi="Verdana"/>
          <w:sz w:val="20"/>
          <w:szCs w:val="20"/>
        </w:rPr>
        <w:t xml:space="preserve"> and employment opportunities available to them</w:t>
      </w:r>
    </w:p>
    <w:p w14:paraId="0E73ABC1" w14:textId="271EA072" w:rsidR="00B93EB9" w:rsidRPr="004F7DF5" w:rsidRDefault="00B93EB9" w:rsidP="00B93EB9">
      <w:pPr>
        <w:pStyle w:val="ListParagraph"/>
        <w:numPr>
          <w:ilvl w:val="0"/>
          <w:numId w:val="2"/>
        </w:numPr>
        <w:rPr>
          <w:rFonts w:ascii="Verdana" w:hAnsi="Verdana"/>
          <w:sz w:val="20"/>
          <w:szCs w:val="20"/>
        </w:rPr>
      </w:pPr>
      <w:r w:rsidRPr="004F7DF5">
        <w:rPr>
          <w:rFonts w:ascii="Verdana" w:hAnsi="Verdana"/>
          <w:sz w:val="20"/>
          <w:szCs w:val="20"/>
        </w:rPr>
        <w:t>Promote the best interests of students</w:t>
      </w:r>
      <w:r w:rsidR="00F73614" w:rsidRPr="004F7DF5">
        <w:rPr>
          <w:rFonts w:ascii="Verdana" w:hAnsi="Verdana"/>
          <w:sz w:val="20"/>
          <w:szCs w:val="20"/>
        </w:rPr>
        <w:t xml:space="preserve"> to the wider community and employers.</w:t>
      </w:r>
    </w:p>
    <w:p w14:paraId="66481D7F" w14:textId="77A06EDE" w:rsidR="004F29AC" w:rsidRPr="004F7DF5" w:rsidRDefault="004F29AC" w:rsidP="00B93EB9">
      <w:pPr>
        <w:pStyle w:val="ListParagraph"/>
        <w:numPr>
          <w:ilvl w:val="0"/>
          <w:numId w:val="2"/>
        </w:numPr>
        <w:rPr>
          <w:rFonts w:ascii="Verdana" w:hAnsi="Verdana"/>
          <w:sz w:val="20"/>
          <w:szCs w:val="20"/>
        </w:rPr>
      </w:pPr>
      <w:r w:rsidRPr="004F7DF5">
        <w:rPr>
          <w:rFonts w:ascii="Verdana" w:hAnsi="Verdana"/>
          <w:sz w:val="20"/>
          <w:szCs w:val="20"/>
        </w:rPr>
        <w:t>Provide our service in an impartial manner.</w:t>
      </w:r>
    </w:p>
    <w:p w14:paraId="56B8CDFD" w14:textId="467DE20E" w:rsidR="004F29AC" w:rsidRPr="004F7DF5" w:rsidRDefault="004F29AC" w:rsidP="004F29AC">
      <w:pPr>
        <w:pStyle w:val="ListParagraph"/>
        <w:numPr>
          <w:ilvl w:val="0"/>
          <w:numId w:val="2"/>
        </w:numPr>
        <w:rPr>
          <w:rFonts w:ascii="Verdana" w:hAnsi="Verdana"/>
          <w:sz w:val="20"/>
          <w:szCs w:val="20"/>
        </w:rPr>
      </w:pPr>
      <w:r w:rsidRPr="004F7DF5">
        <w:rPr>
          <w:rFonts w:ascii="Verdana" w:hAnsi="Verdana"/>
          <w:sz w:val="20"/>
          <w:szCs w:val="20"/>
        </w:rPr>
        <w:t xml:space="preserve">Provide meaningful encounters within the workplace, working environments and </w:t>
      </w:r>
      <w:r w:rsidR="00BF4D04" w:rsidRPr="004F7DF5">
        <w:rPr>
          <w:rFonts w:ascii="Verdana" w:hAnsi="Verdana"/>
          <w:color w:val="000000" w:themeColor="text1"/>
          <w:sz w:val="20"/>
          <w:szCs w:val="20"/>
        </w:rPr>
        <w:t xml:space="preserve">with </w:t>
      </w:r>
      <w:r w:rsidRPr="004F7DF5">
        <w:rPr>
          <w:rFonts w:ascii="Verdana" w:hAnsi="Verdana"/>
          <w:sz w:val="20"/>
          <w:szCs w:val="20"/>
        </w:rPr>
        <w:t xml:space="preserve">employers. </w:t>
      </w:r>
    </w:p>
    <w:p w14:paraId="5AD01E0F" w14:textId="77777777" w:rsidR="004F29AC" w:rsidRPr="004F7DF5" w:rsidRDefault="004F29AC" w:rsidP="004F29AC">
      <w:pPr>
        <w:pStyle w:val="ListParagraph"/>
        <w:numPr>
          <w:ilvl w:val="0"/>
          <w:numId w:val="2"/>
        </w:numPr>
        <w:rPr>
          <w:rFonts w:ascii="Verdana" w:hAnsi="Verdana"/>
          <w:sz w:val="20"/>
          <w:szCs w:val="20"/>
        </w:rPr>
      </w:pPr>
      <w:r w:rsidRPr="004F7DF5">
        <w:rPr>
          <w:rFonts w:ascii="Verdana" w:hAnsi="Verdana"/>
          <w:sz w:val="20"/>
          <w:szCs w:val="20"/>
        </w:rPr>
        <w:t xml:space="preserve">Provide an embedded programme of careers education and guidance. </w:t>
      </w:r>
    </w:p>
    <w:p w14:paraId="56CECDC4" w14:textId="2363D74C" w:rsidR="004F29AC" w:rsidRPr="004F7DF5" w:rsidRDefault="004F29AC" w:rsidP="00B93EB9">
      <w:pPr>
        <w:pStyle w:val="ListParagraph"/>
        <w:numPr>
          <w:ilvl w:val="0"/>
          <w:numId w:val="2"/>
        </w:numPr>
        <w:rPr>
          <w:rFonts w:ascii="Verdana" w:hAnsi="Verdana"/>
          <w:sz w:val="20"/>
          <w:szCs w:val="20"/>
        </w:rPr>
      </w:pPr>
      <w:r w:rsidRPr="004F7DF5">
        <w:rPr>
          <w:rFonts w:ascii="Verdana" w:hAnsi="Verdana"/>
          <w:sz w:val="20"/>
          <w:szCs w:val="20"/>
        </w:rPr>
        <w:t>Ensure</w:t>
      </w:r>
      <w:r w:rsidR="00B150E5" w:rsidRPr="004F7DF5">
        <w:rPr>
          <w:rFonts w:ascii="Verdana" w:hAnsi="Verdana"/>
          <w:sz w:val="20"/>
          <w:szCs w:val="20"/>
        </w:rPr>
        <w:t xml:space="preserve"> that our services are inclusive to all</w:t>
      </w:r>
      <w:r w:rsidR="00057968" w:rsidRPr="004F7DF5">
        <w:rPr>
          <w:rFonts w:ascii="Verdana" w:hAnsi="Verdana"/>
          <w:sz w:val="20"/>
          <w:szCs w:val="20"/>
        </w:rPr>
        <w:t>.</w:t>
      </w:r>
    </w:p>
    <w:p w14:paraId="1FB973A3" w14:textId="77777777" w:rsidR="004F29AC" w:rsidRPr="004F7DF5" w:rsidRDefault="004F29AC" w:rsidP="004F29AC">
      <w:pPr>
        <w:pStyle w:val="ListParagraph"/>
        <w:numPr>
          <w:ilvl w:val="0"/>
          <w:numId w:val="2"/>
        </w:numPr>
        <w:rPr>
          <w:rFonts w:ascii="Verdana" w:hAnsi="Verdana"/>
          <w:sz w:val="20"/>
          <w:szCs w:val="20"/>
        </w:rPr>
      </w:pPr>
      <w:r w:rsidRPr="004F7DF5">
        <w:rPr>
          <w:rFonts w:ascii="Verdana" w:hAnsi="Verdana"/>
          <w:sz w:val="20"/>
          <w:szCs w:val="20"/>
        </w:rPr>
        <w:t>Provide a range of tailored resources to support our learners.</w:t>
      </w:r>
    </w:p>
    <w:p w14:paraId="0211376B" w14:textId="0C7F4B53" w:rsidR="00F73614" w:rsidRPr="004F7DF5" w:rsidRDefault="00010007" w:rsidP="00F73614">
      <w:pPr>
        <w:pStyle w:val="ListParagraph"/>
        <w:numPr>
          <w:ilvl w:val="0"/>
          <w:numId w:val="2"/>
        </w:numPr>
        <w:rPr>
          <w:rFonts w:ascii="Verdana" w:hAnsi="Verdana"/>
          <w:sz w:val="20"/>
          <w:szCs w:val="20"/>
        </w:rPr>
      </w:pPr>
      <w:r w:rsidRPr="004F7DF5">
        <w:rPr>
          <w:rFonts w:ascii="Verdana" w:hAnsi="Verdana"/>
          <w:sz w:val="20"/>
          <w:szCs w:val="20"/>
        </w:rPr>
        <w:t>Engage with parents</w:t>
      </w:r>
      <w:r w:rsidR="00B56B70" w:rsidRPr="004F7DF5">
        <w:rPr>
          <w:rFonts w:ascii="Verdana" w:hAnsi="Verdana"/>
          <w:sz w:val="20"/>
          <w:szCs w:val="20"/>
        </w:rPr>
        <w:t>/carers</w:t>
      </w:r>
      <w:r w:rsidRPr="004F7DF5">
        <w:rPr>
          <w:rFonts w:ascii="Verdana" w:hAnsi="Verdana"/>
          <w:sz w:val="20"/>
          <w:szCs w:val="20"/>
        </w:rPr>
        <w:t xml:space="preserve"> to promote the benefits of employment and the opportunities on offer. </w:t>
      </w:r>
    </w:p>
    <w:p w14:paraId="7B8E530A" w14:textId="18210496" w:rsidR="00060E4D" w:rsidRPr="004F7DF5" w:rsidRDefault="00060E4D" w:rsidP="00F73614">
      <w:pPr>
        <w:pStyle w:val="ListParagraph"/>
        <w:numPr>
          <w:ilvl w:val="0"/>
          <w:numId w:val="2"/>
        </w:numPr>
        <w:rPr>
          <w:rFonts w:ascii="Verdana" w:hAnsi="Verdana"/>
          <w:sz w:val="20"/>
          <w:szCs w:val="20"/>
        </w:rPr>
      </w:pPr>
      <w:r w:rsidRPr="004F7DF5">
        <w:rPr>
          <w:rFonts w:ascii="Verdana" w:hAnsi="Verdana"/>
          <w:sz w:val="20"/>
          <w:szCs w:val="20"/>
        </w:rPr>
        <w:t xml:space="preserve">Opportunity to meet with a careers guide throughout their programme. </w:t>
      </w:r>
    </w:p>
    <w:p w14:paraId="3DBAFF5E" w14:textId="16CD4806" w:rsidR="00A31EA8" w:rsidRPr="004F7DF5" w:rsidRDefault="00060E4D" w:rsidP="00A31EA8">
      <w:pPr>
        <w:pStyle w:val="ListParagraph"/>
        <w:numPr>
          <w:ilvl w:val="0"/>
          <w:numId w:val="2"/>
        </w:numPr>
        <w:rPr>
          <w:rFonts w:ascii="Verdana" w:hAnsi="Verdana"/>
          <w:sz w:val="20"/>
          <w:szCs w:val="20"/>
        </w:rPr>
      </w:pPr>
      <w:r w:rsidRPr="004F7DF5">
        <w:rPr>
          <w:rFonts w:ascii="Verdana" w:hAnsi="Verdana"/>
          <w:sz w:val="20"/>
          <w:szCs w:val="20"/>
        </w:rPr>
        <w:t>Opportunity to engage with visits and external speakers on a range of topics.</w:t>
      </w:r>
    </w:p>
    <w:p w14:paraId="7D9E77BA" w14:textId="10ADCD5E" w:rsidR="00060E4D" w:rsidRPr="004F7DF5" w:rsidRDefault="00060E4D" w:rsidP="00F73614">
      <w:pPr>
        <w:pStyle w:val="ListParagraph"/>
        <w:numPr>
          <w:ilvl w:val="0"/>
          <w:numId w:val="2"/>
        </w:numPr>
        <w:rPr>
          <w:rFonts w:ascii="Verdana" w:hAnsi="Verdana"/>
          <w:sz w:val="20"/>
          <w:szCs w:val="20"/>
        </w:rPr>
      </w:pPr>
      <w:r w:rsidRPr="004F7DF5">
        <w:rPr>
          <w:rFonts w:ascii="Verdana" w:hAnsi="Verdana"/>
          <w:sz w:val="20"/>
          <w:szCs w:val="20"/>
        </w:rPr>
        <w:t xml:space="preserve">Develop the cultural capital of our learners through social engagement with local partners and employers. </w:t>
      </w:r>
    </w:p>
    <w:p w14:paraId="49FD805D" w14:textId="5D886069" w:rsidR="00060E4D" w:rsidRPr="004F7DF5" w:rsidRDefault="00060E4D" w:rsidP="00F73614">
      <w:pPr>
        <w:pStyle w:val="ListParagraph"/>
        <w:numPr>
          <w:ilvl w:val="0"/>
          <w:numId w:val="2"/>
        </w:numPr>
        <w:rPr>
          <w:rFonts w:ascii="Verdana" w:hAnsi="Verdana"/>
          <w:sz w:val="20"/>
          <w:szCs w:val="20"/>
        </w:rPr>
      </w:pPr>
      <w:r w:rsidRPr="004F7DF5">
        <w:rPr>
          <w:rFonts w:ascii="Verdana" w:hAnsi="Verdana"/>
          <w:sz w:val="20"/>
          <w:szCs w:val="20"/>
        </w:rPr>
        <w:t xml:space="preserve">Provide learners with mock interviews and support with CV writing as part of their programme. </w:t>
      </w:r>
    </w:p>
    <w:p w14:paraId="28BC362F" w14:textId="5BE517BA" w:rsidR="00060E4D" w:rsidRPr="004F7DF5" w:rsidRDefault="00060E4D" w:rsidP="00060E4D">
      <w:pPr>
        <w:pStyle w:val="ListParagraph"/>
        <w:rPr>
          <w:rFonts w:ascii="Verdana" w:hAnsi="Verdana"/>
          <w:sz w:val="20"/>
          <w:szCs w:val="20"/>
        </w:rPr>
      </w:pPr>
    </w:p>
    <w:p w14:paraId="29449FEA" w14:textId="77777777" w:rsidR="00BD4398" w:rsidRPr="004F7DF5" w:rsidRDefault="00BD4398" w:rsidP="00BD4398">
      <w:pPr>
        <w:rPr>
          <w:rFonts w:ascii="Verdana" w:hAnsi="Verdana"/>
          <w:sz w:val="20"/>
          <w:szCs w:val="20"/>
        </w:rPr>
      </w:pPr>
    </w:p>
    <w:p w14:paraId="2CF9EB0C" w14:textId="77777777" w:rsidR="00BD4398" w:rsidRPr="004F7DF5" w:rsidRDefault="00BD4398" w:rsidP="00047230">
      <w:pPr>
        <w:rPr>
          <w:rFonts w:ascii="Verdana" w:hAnsi="Verdana"/>
          <w:sz w:val="20"/>
          <w:szCs w:val="20"/>
        </w:rPr>
      </w:pPr>
    </w:p>
    <w:p w14:paraId="42E0316B" w14:textId="37CE64E1" w:rsidR="00BD4398" w:rsidRPr="004F7DF5" w:rsidRDefault="00BD4398" w:rsidP="005F3177">
      <w:pPr>
        <w:pStyle w:val="ListParagraph"/>
        <w:numPr>
          <w:ilvl w:val="0"/>
          <w:numId w:val="1"/>
        </w:numPr>
        <w:ind w:left="426"/>
        <w:rPr>
          <w:rFonts w:ascii="Verdana" w:hAnsi="Verdana"/>
          <w:b/>
          <w:bCs/>
          <w:sz w:val="20"/>
          <w:szCs w:val="20"/>
        </w:rPr>
      </w:pPr>
      <w:r w:rsidRPr="004F7DF5">
        <w:rPr>
          <w:rFonts w:ascii="Verdana" w:hAnsi="Verdana"/>
          <w:b/>
          <w:bCs/>
          <w:sz w:val="20"/>
          <w:szCs w:val="20"/>
        </w:rPr>
        <w:t>Implementation:</w:t>
      </w:r>
    </w:p>
    <w:p w14:paraId="5BDEF564" w14:textId="77777777" w:rsidR="00057968" w:rsidRPr="004F7DF5" w:rsidRDefault="00057968" w:rsidP="00057968">
      <w:pPr>
        <w:rPr>
          <w:rFonts w:ascii="Verdana" w:hAnsi="Verdana"/>
          <w:b/>
          <w:bCs/>
          <w:sz w:val="20"/>
          <w:szCs w:val="20"/>
        </w:rPr>
      </w:pPr>
    </w:p>
    <w:p w14:paraId="64256459" w14:textId="28C8384B" w:rsidR="00057968" w:rsidRPr="004F7DF5" w:rsidRDefault="00057968" w:rsidP="00057968">
      <w:pPr>
        <w:rPr>
          <w:rFonts w:ascii="Verdana" w:hAnsi="Verdana"/>
          <w:sz w:val="20"/>
          <w:szCs w:val="20"/>
        </w:rPr>
      </w:pPr>
      <w:r w:rsidRPr="004F7DF5">
        <w:rPr>
          <w:rFonts w:ascii="Verdana" w:hAnsi="Verdana"/>
          <w:sz w:val="20"/>
          <w:szCs w:val="20"/>
        </w:rPr>
        <w:t xml:space="preserve">How we implement IAG across our programmes is achieved </w:t>
      </w:r>
      <w:r w:rsidR="00BC38F5" w:rsidRPr="004F7DF5">
        <w:rPr>
          <w:rFonts w:ascii="Verdana" w:hAnsi="Verdana"/>
          <w:sz w:val="20"/>
          <w:szCs w:val="20"/>
        </w:rPr>
        <w:t>through,</w:t>
      </w:r>
      <w:r w:rsidRPr="004F7DF5">
        <w:rPr>
          <w:rFonts w:ascii="Verdana" w:hAnsi="Verdana"/>
          <w:sz w:val="20"/>
          <w:szCs w:val="20"/>
        </w:rPr>
        <w:t xml:space="preserve"> but not limited to the following:</w:t>
      </w:r>
    </w:p>
    <w:p w14:paraId="69ACA8A7" w14:textId="77777777" w:rsidR="00057968" w:rsidRPr="004F7DF5" w:rsidRDefault="00057968" w:rsidP="00057968">
      <w:pPr>
        <w:rPr>
          <w:rFonts w:ascii="Verdana" w:hAnsi="Verdana"/>
          <w:sz w:val="20"/>
          <w:szCs w:val="20"/>
        </w:rPr>
      </w:pPr>
    </w:p>
    <w:p w14:paraId="16A103DA" w14:textId="1132880A" w:rsidR="00BD4398" w:rsidRPr="004F7DF5" w:rsidRDefault="00BD4398">
      <w:pPr>
        <w:pStyle w:val="ListParagraph"/>
        <w:numPr>
          <w:ilvl w:val="0"/>
          <w:numId w:val="4"/>
        </w:numPr>
        <w:ind w:left="709"/>
        <w:rPr>
          <w:rFonts w:ascii="Verdana" w:hAnsi="Verdana"/>
          <w:sz w:val="20"/>
          <w:szCs w:val="20"/>
        </w:rPr>
      </w:pPr>
      <w:r w:rsidRPr="004F7DF5">
        <w:rPr>
          <w:rFonts w:ascii="Verdana" w:hAnsi="Verdana"/>
          <w:sz w:val="20"/>
          <w:szCs w:val="20"/>
        </w:rPr>
        <w:t>Tutor will initially ensure that all students on programme receive and complete an IAG student handbook as part of their programme.</w:t>
      </w:r>
    </w:p>
    <w:p w14:paraId="386E11A3" w14:textId="08934E0E" w:rsidR="00057968" w:rsidRPr="004F7DF5" w:rsidRDefault="00057968" w:rsidP="00057968">
      <w:pPr>
        <w:pStyle w:val="ListParagraph"/>
        <w:numPr>
          <w:ilvl w:val="0"/>
          <w:numId w:val="4"/>
        </w:numPr>
        <w:ind w:left="709"/>
        <w:rPr>
          <w:rFonts w:ascii="Verdana" w:hAnsi="Verdana"/>
          <w:sz w:val="20"/>
          <w:szCs w:val="20"/>
        </w:rPr>
      </w:pPr>
      <w:r w:rsidRPr="004F7DF5">
        <w:rPr>
          <w:rFonts w:ascii="Verdana" w:hAnsi="Verdana"/>
          <w:sz w:val="20"/>
          <w:szCs w:val="20"/>
        </w:rPr>
        <w:t>Student inductions and reviews</w:t>
      </w:r>
      <w:r w:rsidR="00BC38F5" w:rsidRPr="004F7DF5">
        <w:rPr>
          <w:rFonts w:ascii="Verdana" w:hAnsi="Verdana"/>
          <w:sz w:val="20"/>
          <w:szCs w:val="20"/>
        </w:rPr>
        <w:t xml:space="preserve"> take place at the start and throughout the programme. </w:t>
      </w:r>
    </w:p>
    <w:p w14:paraId="74352E08" w14:textId="3EA0711E" w:rsidR="00BD4398" w:rsidRPr="004F7DF5" w:rsidRDefault="00785F0A" w:rsidP="00796E5C">
      <w:pPr>
        <w:pStyle w:val="ListParagraph"/>
        <w:numPr>
          <w:ilvl w:val="0"/>
          <w:numId w:val="4"/>
        </w:numPr>
        <w:ind w:left="709"/>
        <w:rPr>
          <w:rFonts w:ascii="Verdana" w:hAnsi="Verdana"/>
          <w:sz w:val="20"/>
          <w:szCs w:val="20"/>
        </w:rPr>
      </w:pPr>
      <w:r w:rsidRPr="004F7DF5">
        <w:rPr>
          <w:rFonts w:ascii="Verdana" w:hAnsi="Verdana"/>
          <w:sz w:val="20"/>
          <w:szCs w:val="20"/>
        </w:rPr>
        <w:t xml:space="preserve">Careers guidance is delivered by or supported by trained IAG staff members. Where we do not have a level 6 qualified staff member in careers guidance (or equivalent), we will externally source support. </w:t>
      </w:r>
    </w:p>
    <w:p w14:paraId="71695C11" w14:textId="09C0E96D" w:rsidR="00B534ED" w:rsidRPr="004F7DF5" w:rsidRDefault="00B534ED" w:rsidP="00796E5C">
      <w:pPr>
        <w:pStyle w:val="ListParagraph"/>
        <w:numPr>
          <w:ilvl w:val="0"/>
          <w:numId w:val="4"/>
        </w:numPr>
        <w:ind w:left="709"/>
        <w:rPr>
          <w:rFonts w:ascii="Verdana" w:hAnsi="Verdana"/>
          <w:sz w:val="20"/>
          <w:szCs w:val="20"/>
        </w:rPr>
      </w:pPr>
      <w:r w:rsidRPr="004F7DF5">
        <w:rPr>
          <w:rFonts w:ascii="Verdana" w:hAnsi="Verdana"/>
          <w:sz w:val="20"/>
          <w:szCs w:val="20"/>
        </w:rPr>
        <w:t xml:space="preserve">Defined IAG </w:t>
      </w:r>
      <w:r w:rsidR="00A31EA8" w:rsidRPr="004F7DF5">
        <w:rPr>
          <w:rFonts w:ascii="Verdana" w:hAnsi="Verdana"/>
          <w:sz w:val="20"/>
          <w:szCs w:val="20"/>
        </w:rPr>
        <w:t xml:space="preserve">displays and information boards in all centres. </w:t>
      </w:r>
    </w:p>
    <w:p w14:paraId="23255B83" w14:textId="473B2EB1" w:rsidR="00B534ED" w:rsidRPr="004F7DF5" w:rsidRDefault="00B56B70" w:rsidP="00796E5C">
      <w:pPr>
        <w:pStyle w:val="ListParagraph"/>
        <w:numPr>
          <w:ilvl w:val="0"/>
          <w:numId w:val="4"/>
        </w:numPr>
        <w:ind w:left="709"/>
        <w:rPr>
          <w:rFonts w:ascii="Verdana" w:hAnsi="Verdana"/>
          <w:sz w:val="20"/>
          <w:szCs w:val="20"/>
        </w:rPr>
      </w:pPr>
      <w:r w:rsidRPr="004F7DF5">
        <w:rPr>
          <w:rFonts w:ascii="Verdana" w:hAnsi="Verdana"/>
          <w:sz w:val="20"/>
          <w:szCs w:val="20"/>
        </w:rPr>
        <w:t xml:space="preserve">Volunteers with skillset specific to IAG to support the delivery and implementation of careers advice and guidance across centres. </w:t>
      </w:r>
    </w:p>
    <w:p w14:paraId="3EE82D74" w14:textId="32FB0265" w:rsidR="00B56B70" w:rsidRPr="004F7DF5" w:rsidRDefault="00B56B70" w:rsidP="00796E5C">
      <w:pPr>
        <w:pStyle w:val="ListParagraph"/>
        <w:numPr>
          <w:ilvl w:val="0"/>
          <w:numId w:val="4"/>
        </w:numPr>
        <w:ind w:left="709"/>
        <w:rPr>
          <w:rFonts w:ascii="Verdana" w:hAnsi="Verdana"/>
          <w:sz w:val="20"/>
          <w:szCs w:val="20"/>
        </w:rPr>
      </w:pPr>
      <w:r w:rsidRPr="004F7DF5">
        <w:rPr>
          <w:rFonts w:ascii="Verdana" w:hAnsi="Verdana"/>
          <w:sz w:val="20"/>
          <w:szCs w:val="20"/>
        </w:rPr>
        <w:t xml:space="preserve">New members of staff to receive a copy of this policy. </w:t>
      </w:r>
    </w:p>
    <w:p w14:paraId="6D401F3F" w14:textId="665615FD" w:rsidR="00B56B70" w:rsidRPr="004F7DF5" w:rsidRDefault="00B56B70">
      <w:pPr>
        <w:pStyle w:val="ListParagraph"/>
        <w:numPr>
          <w:ilvl w:val="0"/>
          <w:numId w:val="4"/>
        </w:numPr>
        <w:ind w:left="709"/>
        <w:rPr>
          <w:rFonts w:ascii="Verdana" w:hAnsi="Verdana"/>
          <w:sz w:val="20"/>
          <w:szCs w:val="20"/>
        </w:rPr>
      </w:pPr>
      <w:r w:rsidRPr="004F7DF5">
        <w:rPr>
          <w:rFonts w:ascii="Verdana" w:hAnsi="Verdana"/>
          <w:sz w:val="20"/>
          <w:szCs w:val="20"/>
        </w:rPr>
        <w:t>Student</w:t>
      </w:r>
      <w:r w:rsidR="00B150E5" w:rsidRPr="004F7DF5">
        <w:rPr>
          <w:rFonts w:ascii="Verdana" w:hAnsi="Verdana"/>
          <w:sz w:val="20"/>
          <w:szCs w:val="20"/>
        </w:rPr>
        <w:t xml:space="preserve"> </w:t>
      </w:r>
      <w:r w:rsidRPr="004F7DF5">
        <w:rPr>
          <w:rFonts w:ascii="Verdana" w:hAnsi="Verdana"/>
          <w:sz w:val="20"/>
          <w:szCs w:val="20"/>
        </w:rPr>
        <w:t xml:space="preserve">parents/carers to have access to this policy on our website. </w:t>
      </w:r>
    </w:p>
    <w:p w14:paraId="313CBD80" w14:textId="6EDECC98" w:rsidR="00057968" w:rsidRPr="004F7DF5" w:rsidRDefault="00057968" w:rsidP="00057968">
      <w:pPr>
        <w:pStyle w:val="ListParagraph"/>
        <w:numPr>
          <w:ilvl w:val="0"/>
          <w:numId w:val="4"/>
        </w:numPr>
        <w:ind w:left="709"/>
        <w:rPr>
          <w:rFonts w:ascii="Verdana" w:hAnsi="Verdana"/>
          <w:sz w:val="20"/>
          <w:szCs w:val="20"/>
        </w:rPr>
      </w:pPr>
      <w:r w:rsidRPr="004F7DF5">
        <w:rPr>
          <w:rFonts w:ascii="Verdana" w:hAnsi="Verdana"/>
          <w:sz w:val="20"/>
          <w:szCs w:val="20"/>
        </w:rPr>
        <w:t xml:space="preserve">Student forums and one to ones embedded in students ILPs. </w:t>
      </w:r>
    </w:p>
    <w:p w14:paraId="6ADBE4C6" w14:textId="451C678F" w:rsidR="00057968" w:rsidRPr="004F7DF5" w:rsidRDefault="00BC38F5" w:rsidP="00057968">
      <w:pPr>
        <w:pStyle w:val="ListParagraph"/>
        <w:numPr>
          <w:ilvl w:val="0"/>
          <w:numId w:val="4"/>
        </w:numPr>
        <w:ind w:left="709"/>
        <w:rPr>
          <w:rFonts w:ascii="Verdana" w:hAnsi="Verdana"/>
          <w:sz w:val="20"/>
          <w:szCs w:val="20"/>
        </w:rPr>
      </w:pPr>
      <w:r w:rsidRPr="004F7DF5">
        <w:rPr>
          <w:rFonts w:ascii="Verdana" w:hAnsi="Verdana"/>
          <w:sz w:val="20"/>
          <w:szCs w:val="20"/>
        </w:rPr>
        <w:t>R</w:t>
      </w:r>
      <w:r w:rsidR="00057968" w:rsidRPr="004F7DF5">
        <w:rPr>
          <w:rFonts w:ascii="Verdana" w:hAnsi="Verdana"/>
          <w:sz w:val="20"/>
          <w:szCs w:val="20"/>
        </w:rPr>
        <w:t>eal working environments</w:t>
      </w:r>
      <w:r w:rsidRPr="004F7DF5">
        <w:rPr>
          <w:rFonts w:ascii="Verdana" w:hAnsi="Verdana"/>
          <w:sz w:val="20"/>
          <w:szCs w:val="20"/>
        </w:rPr>
        <w:t xml:space="preserve"> for studying</w:t>
      </w:r>
      <w:r w:rsidR="00057968" w:rsidRPr="004F7DF5">
        <w:rPr>
          <w:rFonts w:ascii="Verdana" w:hAnsi="Verdana"/>
          <w:sz w:val="20"/>
          <w:szCs w:val="20"/>
        </w:rPr>
        <w:t xml:space="preserve"> or provided with work opportunities</w:t>
      </w:r>
      <w:r w:rsidRPr="004F7DF5">
        <w:rPr>
          <w:rFonts w:ascii="Verdana" w:hAnsi="Verdana"/>
          <w:sz w:val="20"/>
          <w:szCs w:val="20"/>
        </w:rPr>
        <w:t xml:space="preserve"> throughout their programme. </w:t>
      </w:r>
    </w:p>
    <w:p w14:paraId="1DD24C32" w14:textId="1D3A4CB4" w:rsidR="00057968" w:rsidRPr="004F7DF5" w:rsidRDefault="00057968" w:rsidP="00057968">
      <w:pPr>
        <w:pStyle w:val="ListParagraph"/>
        <w:numPr>
          <w:ilvl w:val="0"/>
          <w:numId w:val="4"/>
        </w:numPr>
        <w:ind w:left="709"/>
        <w:rPr>
          <w:rFonts w:ascii="Verdana" w:hAnsi="Verdana"/>
          <w:sz w:val="20"/>
          <w:szCs w:val="20"/>
        </w:rPr>
      </w:pPr>
      <w:r w:rsidRPr="004F7DF5">
        <w:rPr>
          <w:rFonts w:ascii="Verdana" w:hAnsi="Verdana"/>
          <w:sz w:val="20"/>
          <w:szCs w:val="20"/>
        </w:rPr>
        <w:t xml:space="preserve">External speakers and visits </w:t>
      </w:r>
      <w:r w:rsidR="00BC38F5" w:rsidRPr="004F7DF5">
        <w:rPr>
          <w:rFonts w:ascii="Verdana" w:hAnsi="Verdana"/>
          <w:sz w:val="20"/>
          <w:szCs w:val="20"/>
        </w:rPr>
        <w:t xml:space="preserve">throughout a programme to meet with a range of employers and organisations. </w:t>
      </w:r>
    </w:p>
    <w:p w14:paraId="504AE848" w14:textId="77777777" w:rsidR="00B534ED" w:rsidRPr="004F7DF5" w:rsidRDefault="00B534ED" w:rsidP="00B534ED">
      <w:pPr>
        <w:rPr>
          <w:rFonts w:ascii="Verdana" w:hAnsi="Verdana"/>
          <w:sz w:val="20"/>
          <w:szCs w:val="20"/>
        </w:rPr>
      </w:pPr>
    </w:p>
    <w:p w14:paraId="36AED79C" w14:textId="1AA289F1" w:rsidR="00B534ED" w:rsidRPr="004F7DF5" w:rsidRDefault="00B534ED" w:rsidP="00796E5C">
      <w:pPr>
        <w:pStyle w:val="ListParagraph"/>
        <w:numPr>
          <w:ilvl w:val="0"/>
          <w:numId w:val="1"/>
        </w:numPr>
        <w:ind w:left="426"/>
        <w:rPr>
          <w:rFonts w:ascii="Verdana" w:hAnsi="Verdana"/>
          <w:b/>
          <w:bCs/>
          <w:sz w:val="20"/>
          <w:szCs w:val="20"/>
        </w:rPr>
      </w:pPr>
      <w:r w:rsidRPr="004F7DF5">
        <w:rPr>
          <w:rFonts w:ascii="Verdana" w:hAnsi="Verdana"/>
          <w:b/>
          <w:bCs/>
          <w:sz w:val="20"/>
          <w:szCs w:val="20"/>
        </w:rPr>
        <w:t>Monitoring:</w:t>
      </w:r>
    </w:p>
    <w:p w14:paraId="6E84C434" w14:textId="77777777" w:rsidR="00542407" w:rsidRPr="004F7DF5" w:rsidRDefault="00542407" w:rsidP="00542407">
      <w:pPr>
        <w:pStyle w:val="ListParagraph"/>
        <w:rPr>
          <w:rFonts w:ascii="Verdana" w:hAnsi="Verdana"/>
          <w:b/>
          <w:bCs/>
          <w:sz w:val="20"/>
          <w:szCs w:val="20"/>
        </w:rPr>
      </w:pPr>
    </w:p>
    <w:p w14:paraId="1E4D046D" w14:textId="208DC493" w:rsidR="00542407" w:rsidRPr="004F7DF5" w:rsidRDefault="00542407" w:rsidP="00542407">
      <w:pPr>
        <w:rPr>
          <w:rFonts w:ascii="Verdana" w:hAnsi="Verdana"/>
          <w:sz w:val="20"/>
          <w:szCs w:val="20"/>
        </w:rPr>
      </w:pPr>
      <w:r w:rsidRPr="004F7DF5">
        <w:rPr>
          <w:rFonts w:ascii="Verdana" w:hAnsi="Verdana"/>
          <w:sz w:val="20"/>
          <w:szCs w:val="20"/>
        </w:rPr>
        <w:t xml:space="preserve">Tutors and managers will use a range of methods to monitor and evaluate the impact of the IAG provided throughout a </w:t>
      </w:r>
      <w:r w:rsidR="00B150E5" w:rsidRPr="004F7DF5">
        <w:rPr>
          <w:rFonts w:ascii="Verdana" w:hAnsi="Verdana"/>
          <w:sz w:val="20"/>
          <w:szCs w:val="20"/>
        </w:rPr>
        <w:t>student’s</w:t>
      </w:r>
      <w:r w:rsidRPr="004F7DF5">
        <w:rPr>
          <w:rFonts w:ascii="Verdana" w:hAnsi="Verdana"/>
          <w:sz w:val="20"/>
          <w:szCs w:val="20"/>
        </w:rPr>
        <w:t xml:space="preserve"> time at Key College. Methods include:</w:t>
      </w:r>
    </w:p>
    <w:p w14:paraId="041C4130" w14:textId="77777777" w:rsidR="00542407" w:rsidRPr="004F7DF5" w:rsidRDefault="00542407" w:rsidP="00542407">
      <w:pPr>
        <w:rPr>
          <w:rFonts w:ascii="Verdana" w:hAnsi="Verdana"/>
          <w:sz w:val="20"/>
          <w:szCs w:val="20"/>
        </w:rPr>
      </w:pPr>
    </w:p>
    <w:p w14:paraId="7B08F8B1" w14:textId="312A08D3" w:rsidR="00542407" w:rsidRPr="004F7DF5" w:rsidRDefault="00542407" w:rsidP="00542407">
      <w:pPr>
        <w:pStyle w:val="ListParagraph"/>
        <w:numPr>
          <w:ilvl w:val="0"/>
          <w:numId w:val="5"/>
        </w:numPr>
        <w:rPr>
          <w:rFonts w:ascii="Verdana" w:hAnsi="Verdana"/>
          <w:sz w:val="20"/>
          <w:szCs w:val="20"/>
        </w:rPr>
      </w:pPr>
      <w:r w:rsidRPr="004F7DF5">
        <w:rPr>
          <w:rFonts w:ascii="Verdana" w:hAnsi="Verdana"/>
          <w:sz w:val="20"/>
          <w:szCs w:val="20"/>
        </w:rPr>
        <w:t>Soft skills analysis</w:t>
      </w:r>
    </w:p>
    <w:p w14:paraId="1144AF35" w14:textId="66D223F4" w:rsidR="00542407" w:rsidRPr="004F7DF5" w:rsidRDefault="00542407" w:rsidP="00542407">
      <w:pPr>
        <w:pStyle w:val="ListParagraph"/>
        <w:numPr>
          <w:ilvl w:val="0"/>
          <w:numId w:val="5"/>
        </w:numPr>
        <w:rPr>
          <w:rFonts w:ascii="Verdana" w:hAnsi="Verdana"/>
          <w:sz w:val="20"/>
          <w:szCs w:val="20"/>
        </w:rPr>
      </w:pPr>
      <w:r w:rsidRPr="004F7DF5">
        <w:rPr>
          <w:rFonts w:ascii="Verdana" w:hAnsi="Verdana"/>
          <w:sz w:val="20"/>
          <w:szCs w:val="20"/>
        </w:rPr>
        <w:t>SPOCS analysis</w:t>
      </w:r>
    </w:p>
    <w:p w14:paraId="297367D3" w14:textId="04373574" w:rsidR="00542407" w:rsidRPr="004F7DF5" w:rsidRDefault="00542407" w:rsidP="00542407">
      <w:pPr>
        <w:pStyle w:val="ListParagraph"/>
        <w:numPr>
          <w:ilvl w:val="0"/>
          <w:numId w:val="5"/>
        </w:numPr>
        <w:rPr>
          <w:rFonts w:ascii="Verdana" w:hAnsi="Verdana"/>
          <w:sz w:val="20"/>
          <w:szCs w:val="20"/>
        </w:rPr>
      </w:pPr>
      <w:r w:rsidRPr="004F7DF5">
        <w:rPr>
          <w:rFonts w:ascii="Verdana" w:hAnsi="Verdana"/>
          <w:sz w:val="20"/>
          <w:szCs w:val="20"/>
        </w:rPr>
        <w:t>Group tutorials</w:t>
      </w:r>
    </w:p>
    <w:p w14:paraId="0938B77E" w14:textId="27407C78" w:rsidR="00445F38" w:rsidRPr="004F7DF5" w:rsidRDefault="00445F38" w:rsidP="00542407">
      <w:pPr>
        <w:pStyle w:val="ListParagraph"/>
        <w:numPr>
          <w:ilvl w:val="0"/>
          <w:numId w:val="5"/>
        </w:numPr>
        <w:rPr>
          <w:rFonts w:ascii="Verdana" w:hAnsi="Verdana"/>
          <w:sz w:val="20"/>
          <w:szCs w:val="20"/>
        </w:rPr>
      </w:pPr>
      <w:r w:rsidRPr="004F7DF5">
        <w:rPr>
          <w:rFonts w:ascii="Verdana" w:hAnsi="Verdana"/>
          <w:sz w:val="20"/>
          <w:szCs w:val="20"/>
        </w:rPr>
        <w:t xml:space="preserve">Student attendance, </w:t>
      </w:r>
      <w:r w:rsidR="00BC38F5" w:rsidRPr="004F7DF5">
        <w:rPr>
          <w:rFonts w:ascii="Verdana" w:hAnsi="Verdana"/>
          <w:sz w:val="20"/>
          <w:szCs w:val="20"/>
        </w:rPr>
        <w:t>retention,</w:t>
      </w:r>
      <w:r w:rsidRPr="004F7DF5">
        <w:rPr>
          <w:rFonts w:ascii="Verdana" w:hAnsi="Verdana"/>
          <w:sz w:val="20"/>
          <w:szCs w:val="20"/>
        </w:rPr>
        <w:t xml:space="preserve"> and achievement rates.</w:t>
      </w:r>
    </w:p>
    <w:p w14:paraId="5FA434CC" w14:textId="23E10EE2" w:rsidR="00445F38" w:rsidRPr="004F7DF5" w:rsidRDefault="00445F38" w:rsidP="00542407">
      <w:pPr>
        <w:pStyle w:val="ListParagraph"/>
        <w:numPr>
          <w:ilvl w:val="0"/>
          <w:numId w:val="5"/>
        </w:numPr>
        <w:rPr>
          <w:rFonts w:ascii="Verdana" w:hAnsi="Verdana"/>
          <w:sz w:val="20"/>
          <w:szCs w:val="20"/>
        </w:rPr>
      </w:pPr>
      <w:r w:rsidRPr="004F7DF5">
        <w:rPr>
          <w:rFonts w:ascii="Verdana" w:hAnsi="Verdana"/>
          <w:sz w:val="20"/>
          <w:szCs w:val="20"/>
        </w:rPr>
        <w:lastRenderedPageBreak/>
        <w:t>Staff training and development.</w:t>
      </w:r>
    </w:p>
    <w:p w14:paraId="0659377E" w14:textId="79C23F07" w:rsidR="00445F38" w:rsidRPr="004F7DF5" w:rsidRDefault="00445F38" w:rsidP="00542407">
      <w:pPr>
        <w:pStyle w:val="ListParagraph"/>
        <w:numPr>
          <w:ilvl w:val="0"/>
          <w:numId w:val="5"/>
        </w:numPr>
        <w:rPr>
          <w:rFonts w:ascii="Verdana" w:hAnsi="Verdana"/>
          <w:sz w:val="20"/>
          <w:szCs w:val="20"/>
        </w:rPr>
      </w:pPr>
      <w:r w:rsidRPr="004F7DF5">
        <w:rPr>
          <w:rFonts w:ascii="Verdana" w:hAnsi="Verdana"/>
          <w:sz w:val="20"/>
          <w:szCs w:val="20"/>
        </w:rPr>
        <w:t xml:space="preserve">Learner progression and destination data. </w:t>
      </w:r>
    </w:p>
    <w:p w14:paraId="07D7E684" w14:textId="0975E131" w:rsidR="00542407" w:rsidRPr="004F7DF5" w:rsidRDefault="00542407" w:rsidP="00542407">
      <w:pPr>
        <w:pStyle w:val="ListParagraph"/>
        <w:numPr>
          <w:ilvl w:val="0"/>
          <w:numId w:val="5"/>
        </w:numPr>
        <w:rPr>
          <w:rFonts w:ascii="Verdana" w:hAnsi="Verdana"/>
          <w:sz w:val="20"/>
          <w:szCs w:val="20"/>
        </w:rPr>
      </w:pPr>
      <w:r w:rsidRPr="004F7DF5">
        <w:rPr>
          <w:rFonts w:ascii="Verdana" w:hAnsi="Verdana"/>
          <w:sz w:val="20"/>
          <w:szCs w:val="20"/>
        </w:rPr>
        <w:t>Student one to ones</w:t>
      </w:r>
      <w:r w:rsidR="00B56B70" w:rsidRPr="004F7DF5">
        <w:rPr>
          <w:rFonts w:ascii="Verdana" w:hAnsi="Verdana"/>
          <w:sz w:val="20"/>
          <w:szCs w:val="20"/>
        </w:rPr>
        <w:t xml:space="preserve"> with IAG raised as a single agenda.</w:t>
      </w:r>
    </w:p>
    <w:p w14:paraId="2EE42FA0" w14:textId="77777777" w:rsidR="00A31EA8" w:rsidRPr="004F7DF5" w:rsidRDefault="00542407" w:rsidP="00542407">
      <w:pPr>
        <w:pStyle w:val="ListParagraph"/>
        <w:numPr>
          <w:ilvl w:val="0"/>
          <w:numId w:val="5"/>
        </w:numPr>
        <w:rPr>
          <w:rFonts w:ascii="Verdana" w:hAnsi="Verdana"/>
          <w:sz w:val="20"/>
          <w:szCs w:val="20"/>
        </w:rPr>
      </w:pPr>
      <w:r w:rsidRPr="004F7DF5">
        <w:rPr>
          <w:rFonts w:ascii="Verdana" w:hAnsi="Verdana"/>
          <w:sz w:val="20"/>
          <w:szCs w:val="20"/>
        </w:rPr>
        <w:t>Parental</w:t>
      </w:r>
      <w:r w:rsidR="00B56B70" w:rsidRPr="004F7DF5">
        <w:rPr>
          <w:rFonts w:ascii="Verdana" w:hAnsi="Verdana"/>
          <w:sz w:val="20"/>
          <w:szCs w:val="20"/>
        </w:rPr>
        <w:t>/carer</w:t>
      </w:r>
      <w:r w:rsidRPr="004F7DF5">
        <w:rPr>
          <w:rFonts w:ascii="Verdana" w:hAnsi="Verdana"/>
          <w:sz w:val="20"/>
          <w:szCs w:val="20"/>
        </w:rPr>
        <w:t xml:space="preserve"> feedback through surveys</w:t>
      </w:r>
    </w:p>
    <w:p w14:paraId="4330FA74" w14:textId="0E717AC4" w:rsidR="00542407" w:rsidRPr="004F7DF5" w:rsidRDefault="00A31EA8" w:rsidP="00542407">
      <w:pPr>
        <w:pStyle w:val="ListParagraph"/>
        <w:numPr>
          <w:ilvl w:val="0"/>
          <w:numId w:val="5"/>
        </w:numPr>
        <w:rPr>
          <w:rFonts w:ascii="Verdana" w:hAnsi="Verdana"/>
          <w:sz w:val="20"/>
          <w:szCs w:val="20"/>
        </w:rPr>
      </w:pPr>
      <w:r w:rsidRPr="004F7DF5">
        <w:rPr>
          <w:rFonts w:ascii="Verdana" w:hAnsi="Verdana"/>
          <w:sz w:val="20"/>
          <w:szCs w:val="20"/>
        </w:rPr>
        <w:t>Student surveys</w:t>
      </w:r>
      <w:r w:rsidR="00BC38F5" w:rsidRPr="004F7DF5">
        <w:rPr>
          <w:rFonts w:ascii="Verdana" w:hAnsi="Verdana"/>
          <w:sz w:val="20"/>
          <w:szCs w:val="20"/>
        </w:rPr>
        <w:t>.</w:t>
      </w:r>
    </w:p>
    <w:p w14:paraId="3D7A5C6A" w14:textId="487CEAF1" w:rsidR="00542407" w:rsidRPr="004F7DF5" w:rsidRDefault="00542407" w:rsidP="00655F93">
      <w:pPr>
        <w:pStyle w:val="ListParagraph"/>
        <w:numPr>
          <w:ilvl w:val="0"/>
          <w:numId w:val="5"/>
        </w:numPr>
        <w:rPr>
          <w:rFonts w:ascii="Verdana" w:hAnsi="Verdana"/>
          <w:sz w:val="20"/>
          <w:szCs w:val="20"/>
        </w:rPr>
      </w:pPr>
      <w:r w:rsidRPr="004F7DF5">
        <w:rPr>
          <w:rFonts w:ascii="Verdana" w:hAnsi="Verdana"/>
          <w:sz w:val="20"/>
          <w:szCs w:val="20"/>
        </w:rPr>
        <w:t>IAG attendance tracking and monitoring (against Gatsby Benchmarks)</w:t>
      </w:r>
      <w:r w:rsidR="00BC38F5" w:rsidRPr="004F7DF5">
        <w:rPr>
          <w:rFonts w:ascii="Verdana" w:hAnsi="Verdana"/>
          <w:sz w:val="20"/>
          <w:szCs w:val="20"/>
        </w:rPr>
        <w:t>.</w:t>
      </w:r>
    </w:p>
    <w:p w14:paraId="2D34BA2F" w14:textId="2442AB04" w:rsidR="00A31EA8" w:rsidRPr="004F7DF5" w:rsidRDefault="00A31EA8" w:rsidP="00655F93">
      <w:pPr>
        <w:pStyle w:val="ListParagraph"/>
        <w:numPr>
          <w:ilvl w:val="0"/>
          <w:numId w:val="5"/>
        </w:numPr>
        <w:rPr>
          <w:rFonts w:ascii="Verdana" w:hAnsi="Verdana"/>
          <w:sz w:val="20"/>
          <w:szCs w:val="20"/>
        </w:rPr>
      </w:pPr>
      <w:r w:rsidRPr="004F7DF5">
        <w:rPr>
          <w:rFonts w:ascii="Verdana" w:hAnsi="Verdana"/>
          <w:sz w:val="20"/>
          <w:szCs w:val="20"/>
        </w:rPr>
        <w:t xml:space="preserve">A separate CIAG Monitoring log for learners on programme. </w:t>
      </w:r>
    </w:p>
    <w:p w14:paraId="4DB3DD57" w14:textId="08805F02" w:rsidR="00542407" w:rsidRPr="004F7DF5" w:rsidRDefault="00A31EA8" w:rsidP="00542407">
      <w:pPr>
        <w:pStyle w:val="ListParagraph"/>
        <w:numPr>
          <w:ilvl w:val="0"/>
          <w:numId w:val="5"/>
        </w:numPr>
        <w:rPr>
          <w:rFonts w:ascii="Verdana" w:hAnsi="Verdana"/>
          <w:sz w:val="20"/>
          <w:szCs w:val="20"/>
        </w:rPr>
      </w:pPr>
      <w:r w:rsidRPr="004F7DF5">
        <w:rPr>
          <w:rFonts w:ascii="Verdana" w:hAnsi="Verdana"/>
          <w:sz w:val="20"/>
          <w:szCs w:val="20"/>
        </w:rPr>
        <w:t>Trustee learning walks</w:t>
      </w:r>
      <w:r w:rsidR="00B56B70" w:rsidRPr="004F7DF5">
        <w:rPr>
          <w:rFonts w:ascii="Verdana" w:hAnsi="Verdana"/>
          <w:sz w:val="20"/>
          <w:szCs w:val="20"/>
        </w:rPr>
        <w:t xml:space="preserve"> and reports (IAG focussed).</w:t>
      </w:r>
    </w:p>
    <w:p w14:paraId="5061BF60" w14:textId="4A2F8A6B"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Careers calendar log.</w:t>
      </w:r>
    </w:p>
    <w:p w14:paraId="3CDC33F5" w14:textId="7D29DDD1"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Photos and events shared through social media.</w:t>
      </w:r>
    </w:p>
    <w:p w14:paraId="4283458C" w14:textId="64282393"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 xml:space="preserve">Observations of careers </w:t>
      </w:r>
      <w:r w:rsidR="00047230" w:rsidRPr="004F7DF5">
        <w:rPr>
          <w:rFonts w:ascii="Verdana" w:hAnsi="Verdana"/>
          <w:sz w:val="20"/>
          <w:szCs w:val="20"/>
        </w:rPr>
        <w:t>guidance</w:t>
      </w:r>
      <w:r w:rsidR="00BC38F5" w:rsidRPr="004F7DF5">
        <w:rPr>
          <w:rFonts w:ascii="Verdana" w:hAnsi="Verdana"/>
          <w:sz w:val="20"/>
          <w:szCs w:val="20"/>
        </w:rPr>
        <w:t xml:space="preserve"> IQA.</w:t>
      </w:r>
    </w:p>
    <w:p w14:paraId="60F8AC56" w14:textId="1A14C6FA"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Informal student and tutor feedback.</w:t>
      </w:r>
    </w:p>
    <w:p w14:paraId="1AE25794" w14:textId="06F2800C"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External/internal visit/visiting speaker request forms and log</w:t>
      </w:r>
      <w:r w:rsidR="00BC38F5" w:rsidRPr="004F7DF5">
        <w:rPr>
          <w:rFonts w:ascii="Verdana" w:hAnsi="Verdana"/>
          <w:sz w:val="20"/>
          <w:szCs w:val="20"/>
        </w:rPr>
        <w:t>s</w:t>
      </w:r>
      <w:r w:rsidRPr="004F7DF5">
        <w:rPr>
          <w:rFonts w:ascii="Verdana" w:hAnsi="Verdana"/>
          <w:sz w:val="20"/>
          <w:szCs w:val="20"/>
        </w:rPr>
        <w:t>.</w:t>
      </w:r>
    </w:p>
    <w:p w14:paraId="25D74D38" w14:textId="3386214D"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Staff meetings -</w:t>
      </w:r>
      <w:r w:rsidR="000C4472" w:rsidRPr="004F7DF5">
        <w:rPr>
          <w:rFonts w:ascii="Verdana" w:hAnsi="Verdana"/>
          <w:sz w:val="20"/>
          <w:szCs w:val="20"/>
        </w:rPr>
        <w:t>all</w:t>
      </w:r>
      <w:r w:rsidRPr="004F7DF5">
        <w:rPr>
          <w:rFonts w:ascii="Verdana" w:hAnsi="Verdana"/>
          <w:sz w:val="20"/>
          <w:szCs w:val="20"/>
        </w:rPr>
        <w:t xml:space="preserve"> the above will feed into this meeting</w:t>
      </w:r>
      <w:r w:rsidR="000C4472" w:rsidRPr="004F7DF5">
        <w:rPr>
          <w:rFonts w:ascii="Verdana" w:hAnsi="Verdana"/>
          <w:sz w:val="20"/>
          <w:szCs w:val="20"/>
        </w:rPr>
        <w:t xml:space="preserve"> regularly to discuss impact. </w:t>
      </w:r>
    </w:p>
    <w:p w14:paraId="7EBF7D27" w14:textId="27ABEDB6" w:rsidR="00B56B70" w:rsidRPr="004F7DF5" w:rsidRDefault="00B56B70" w:rsidP="00542407">
      <w:pPr>
        <w:pStyle w:val="ListParagraph"/>
        <w:numPr>
          <w:ilvl w:val="0"/>
          <w:numId w:val="5"/>
        </w:numPr>
        <w:rPr>
          <w:rFonts w:ascii="Verdana" w:hAnsi="Verdana"/>
          <w:sz w:val="20"/>
          <w:szCs w:val="20"/>
        </w:rPr>
      </w:pPr>
      <w:r w:rsidRPr="004F7DF5">
        <w:rPr>
          <w:rFonts w:ascii="Verdana" w:hAnsi="Verdana"/>
          <w:sz w:val="20"/>
          <w:szCs w:val="20"/>
        </w:rPr>
        <w:t>Leadership meetings</w:t>
      </w:r>
      <w:r w:rsidR="000C4472" w:rsidRPr="004F7DF5">
        <w:rPr>
          <w:rFonts w:ascii="Verdana" w:hAnsi="Verdana"/>
          <w:sz w:val="20"/>
          <w:szCs w:val="20"/>
        </w:rPr>
        <w:t xml:space="preserve"> all</w:t>
      </w:r>
      <w:r w:rsidRPr="004F7DF5">
        <w:rPr>
          <w:rFonts w:ascii="Verdana" w:hAnsi="Verdana"/>
          <w:sz w:val="20"/>
          <w:szCs w:val="20"/>
        </w:rPr>
        <w:t xml:space="preserve"> the above to feed into leadership meetings with specific agenda item around IAG.</w:t>
      </w:r>
    </w:p>
    <w:p w14:paraId="321703EA" w14:textId="7028D1C0" w:rsidR="00A31EA8" w:rsidRPr="004F7DF5" w:rsidRDefault="00A31EA8" w:rsidP="00542407">
      <w:pPr>
        <w:pStyle w:val="ListParagraph"/>
        <w:numPr>
          <w:ilvl w:val="0"/>
          <w:numId w:val="5"/>
        </w:numPr>
        <w:rPr>
          <w:rFonts w:ascii="Verdana" w:hAnsi="Verdana"/>
          <w:sz w:val="20"/>
          <w:szCs w:val="20"/>
        </w:rPr>
      </w:pPr>
      <w:r w:rsidRPr="004F7DF5">
        <w:rPr>
          <w:rFonts w:ascii="Verdana" w:hAnsi="Verdana"/>
          <w:sz w:val="20"/>
          <w:szCs w:val="20"/>
        </w:rPr>
        <w:t xml:space="preserve">Learner feedback forms for IAG, events and workshops etc. </w:t>
      </w:r>
    </w:p>
    <w:p w14:paraId="4B59349D" w14:textId="77777777" w:rsidR="009C1DB4" w:rsidRPr="004F7DF5" w:rsidRDefault="009C1DB4" w:rsidP="009C1DB4">
      <w:pPr>
        <w:rPr>
          <w:rFonts w:ascii="Verdana" w:hAnsi="Verdana"/>
          <w:sz w:val="20"/>
          <w:szCs w:val="20"/>
        </w:rPr>
      </w:pPr>
    </w:p>
    <w:p w14:paraId="3C9E8238" w14:textId="77777777" w:rsidR="00B150E5" w:rsidRPr="004F7DF5" w:rsidRDefault="00B150E5" w:rsidP="00B150E5">
      <w:pPr>
        <w:rPr>
          <w:rFonts w:ascii="Verdana" w:hAnsi="Verdana"/>
          <w:sz w:val="20"/>
          <w:szCs w:val="20"/>
        </w:rPr>
      </w:pPr>
    </w:p>
    <w:p w14:paraId="314368BB" w14:textId="572B8EBF" w:rsidR="00B150E5" w:rsidRPr="004F7DF5" w:rsidRDefault="00B150E5" w:rsidP="00BF4D04">
      <w:pPr>
        <w:pStyle w:val="ListParagraph"/>
        <w:numPr>
          <w:ilvl w:val="0"/>
          <w:numId w:val="1"/>
        </w:numPr>
        <w:ind w:left="360"/>
        <w:rPr>
          <w:rFonts w:ascii="Verdana" w:hAnsi="Verdana"/>
          <w:b/>
          <w:bCs/>
          <w:sz w:val="20"/>
          <w:szCs w:val="20"/>
        </w:rPr>
      </w:pPr>
      <w:r w:rsidRPr="004F7DF5">
        <w:rPr>
          <w:rFonts w:ascii="Verdana" w:hAnsi="Verdana"/>
          <w:b/>
          <w:bCs/>
          <w:sz w:val="20"/>
          <w:szCs w:val="20"/>
        </w:rPr>
        <w:t>Quality assurance &amp; impact</w:t>
      </w:r>
      <w:r w:rsidR="00047230" w:rsidRPr="004F7DF5">
        <w:rPr>
          <w:rFonts w:ascii="Verdana" w:hAnsi="Verdana"/>
          <w:b/>
          <w:bCs/>
          <w:sz w:val="20"/>
          <w:szCs w:val="20"/>
        </w:rPr>
        <w:t xml:space="preserve"> measuring:</w:t>
      </w:r>
    </w:p>
    <w:p w14:paraId="53A0AFE6" w14:textId="77777777" w:rsidR="00B150E5" w:rsidRPr="004F7DF5" w:rsidRDefault="00B150E5" w:rsidP="00BF4D04">
      <w:pPr>
        <w:rPr>
          <w:rFonts w:ascii="Verdana" w:hAnsi="Verdana"/>
          <w:b/>
          <w:bCs/>
          <w:sz w:val="20"/>
          <w:szCs w:val="20"/>
        </w:rPr>
      </w:pPr>
    </w:p>
    <w:p w14:paraId="07DE0D30" w14:textId="04DDD3D3" w:rsidR="00B150E5" w:rsidRPr="004F7DF5" w:rsidRDefault="00B150E5" w:rsidP="00B150E5">
      <w:pPr>
        <w:rPr>
          <w:rFonts w:ascii="Verdana" w:hAnsi="Verdana"/>
          <w:sz w:val="20"/>
          <w:szCs w:val="20"/>
        </w:rPr>
      </w:pPr>
      <w:r w:rsidRPr="004F7DF5">
        <w:rPr>
          <w:rFonts w:ascii="Verdana" w:hAnsi="Verdana"/>
          <w:sz w:val="20"/>
          <w:szCs w:val="20"/>
        </w:rPr>
        <w:t xml:space="preserve">We recognise the importance of </w:t>
      </w:r>
      <w:r w:rsidR="000C4472" w:rsidRPr="004F7DF5">
        <w:rPr>
          <w:rFonts w:ascii="Verdana" w:hAnsi="Verdana"/>
          <w:sz w:val="20"/>
          <w:szCs w:val="20"/>
        </w:rPr>
        <w:t xml:space="preserve">monitoring </w:t>
      </w:r>
      <w:r w:rsidRPr="004F7DF5">
        <w:rPr>
          <w:rFonts w:ascii="Verdana" w:hAnsi="Verdana"/>
          <w:sz w:val="20"/>
          <w:szCs w:val="20"/>
        </w:rPr>
        <w:t>the quality and impact of the IAG that we deliver within Key College</w:t>
      </w:r>
      <w:r w:rsidR="000C4472" w:rsidRPr="004F7DF5">
        <w:rPr>
          <w:rFonts w:ascii="Verdana" w:hAnsi="Verdana"/>
          <w:sz w:val="20"/>
          <w:szCs w:val="20"/>
        </w:rPr>
        <w:t xml:space="preserve"> </w:t>
      </w:r>
      <w:r w:rsidR="00BC38F5" w:rsidRPr="004F7DF5">
        <w:rPr>
          <w:rFonts w:ascii="Verdana" w:hAnsi="Verdana"/>
          <w:sz w:val="20"/>
          <w:szCs w:val="20"/>
        </w:rPr>
        <w:t>to ensure that it is and remains</w:t>
      </w:r>
      <w:r w:rsidR="000C4472" w:rsidRPr="004F7DF5">
        <w:rPr>
          <w:rFonts w:ascii="Verdana" w:hAnsi="Verdana"/>
          <w:sz w:val="20"/>
          <w:szCs w:val="20"/>
        </w:rPr>
        <w:t xml:space="preserve"> effective</w:t>
      </w:r>
      <w:r w:rsidRPr="004F7DF5">
        <w:rPr>
          <w:rFonts w:ascii="Verdana" w:hAnsi="Verdana"/>
          <w:sz w:val="20"/>
          <w:szCs w:val="20"/>
        </w:rPr>
        <w:t>. This will enable senior</w:t>
      </w:r>
      <w:r w:rsidR="000C4472" w:rsidRPr="004F7DF5">
        <w:rPr>
          <w:rFonts w:ascii="Verdana" w:hAnsi="Verdana"/>
          <w:sz w:val="20"/>
          <w:szCs w:val="20"/>
        </w:rPr>
        <w:t xml:space="preserve"> leaders</w:t>
      </w:r>
      <w:r w:rsidRPr="004F7DF5">
        <w:rPr>
          <w:rFonts w:ascii="Verdana" w:hAnsi="Verdana"/>
          <w:sz w:val="20"/>
          <w:szCs w:val="20"/>
        </w:rPr>
        <w:t xml:space="preserve">, managers, </w:t>
      </w:r>
      <w:r w:rsidR="000C4472" w:rsidRPr="004F7DF5">
        <w:rPr>
          <w:rFonts w:ascii="Verdana" w:hAnsi="Verdana"/>
          <w:sz w:val="20"/>
          <w:szCs w:val="20"/>
        </w:rPr>
        <w:t>tutors, s</w:t>
      </w:r>
      <w:r w:rsidRPr="004F7DF5">
        <w:rPr>
          <w:rFonts w:ascii="Verdana" w:hAnsi="Verdana"/>
          <w:sz w:val="20"/>
          <w:szCs w:val="20"/>
        </w:rPr>
        <w:t>upport staff</w:t>
      </w:r>
      <w:r w:rsidR="000C4472" w:rsidRPr="004F7DF5">
        <w:rPr>
          <w:rFonts w:ascii="Verdana" w:hAnsi="Verdana"/>
          <w:sz w:val="20"/>
          <w:szCs w:val="20"/>
        </w:rPr>
        <w:t xml:space="preserve"> and volunteers</w:t>
      </w:r>
      <w:r w:rsidRPr="004F7DF5">
        <w:rPr>
          <w:rFonts w:ascii="Verdana" w:hAnsi="Verdana"/>
          <w:sz w:val="20"/>
          <w:szCs w:val="20"/>
        </w:rPr>
        <w:t xml:space="preserve"> to adapt and continuously develop our IAG programme to ensure that it</w:t>
      </w:r>
      <w:r w:rsidR="000C4472" w:rsidRPr="004F7DF5">
        <w:rPr>
          <w:rFonts w:ascii="Verdana" w:hAnsi="Verdana"/>
          <w:sz w:val="20"/>
          <w:szCs w:val="20"/>
        </w:rPr>
        <w:t xml:space="preserve"> continues to</w:t>
      </w:r>
      <w:r w:rsidRPr="004F7DF5">
        <w:rPr>
          <w:rFonts w:ascii="Verdana" w:hAnsi="Verdana"/>
          <w:sz w:val="20"/>
          <w:szCs w:val="20"/>
        </w:rPr>
        <w:t xml:space="preserve"> </w:t>
      </w:r>
      <w:r w:rsidR="00057968" w:rsidRPr="004F7DF5">
        <w:rPr>
          <w:rFonts w:ascii="Verdana" w:hAnsi="Verdana"/>
          <w:sz w:val="20"/>
          <w:szCs w:val="20"/>
        </w:rPr>
        <w:t>meet</w:t>
      </w:r>
      <w:r w:rsidRPr="004F7DF5">
        <w:rPr>
          <w:rFonts w:ascii="Verdana" w:hAnsi="Verdana"/>
          <w:sz w:val="20"/>
          <w:szCs w:val="20"/>
        </w:rPr>
        <w:t xml:space="preserve"> the needs of our learners. We will achieve this through:</w:t>
      </w:r>
    </w:p>
    <w:p w14:paraId="46ADA095" w14:textId="77777777" w:rsidR="00655F93" w:rsidRPr="004F7DF5" w:rsidRDefault="00655F93" w:rsidP="00B150E5">
      <w:pPr>
        <w:rPr>
          <w:rFonts w:ascii="Verdana" w:hAnsi="Verdana"/>
          <w:sz w:val="20"/>
          <w:szCs w:val="20"/>
        </w:rPr>
      </w:pPr>
    </w:p>
    <w:p w14:paraId="70B32969" w14:textId="3D417B1C" w:rsidR="00655F93" w:rsidRPr="004F7DF5" w:rsidRDefault="00655F93" w:rsidP="00655F93">
      <w:pPr>
        <w:pStyle w:val="ListParagraph"/>
        <w:numPr>
          <w:ilvl w:val="0"/>
          <w:numId w:val="8"/>
        </w:numPr>
        <w:rPr>
          <w:rFonts w:ascii="Verdana" w:hAnsi="Verdana"/>
          <w:sz w:val="20"/>
          <w:szCs w:val="20"/>
        </w:rPr>
      </w:pPr>
      <w:r w:rsidRPr="004F7DF5">
        <w:rPr>
          <w:rFonts w:ascii="Verdana" w:hAnsi="Verdana"/>
          <w:sz w:val="20"/>
          <w:szCs w:val="20"/>
        </w:rPr>
        <w:t>Monitoring the standard of IAG that we provide at Key College through learner feedback forms</w:t>
      </w:r>
      <w:r w:rsidR="00047230" w:rsidRPr="004F7DF5">
        <w:rPr>
          <w:rFonts w:ascii="Verdana" w:hAnsi="Verdana"/>
          <w:sz w:val="20"/>
          <w:szCs w:val="20"/>
        </w:rPr>
        <w:t>, soft skills, SPOCS, group tutorials, student one to ones</w:t>
      </w:r>
      <w:r w:rsidRPr="004F7DF5">
        <w:rPr>
          <w:rFonts w:ascii="Verdana" w:hAnsi="Verdana"/>
          <w:sz w:val="20"/>
          <w:szCs w:val="20"/>
        </w:rPr>
        <w:t xml:space="preserve"> and the student handbook. </w:t>
      </w:r>
      <w:r w:rsidR="00445F38" w:rsidRPr="004F7DF5">
        <w:rPr>
          <w:rFonts w:ascii="Verdana" w:hAnsi="Verdana"/>
          <w:sz w:val="20"/>
          <w:szCs w:val="20"/>
        </w:rPr>
        <w:t>All of which feeds into team meetings and leadership meetings</w:t>
      </w:r>
      <w:r w:rsidR="00057968" w:rsidRPr="004F7DF5">
        <w:rPr>
          <w:rFonts w:ascii="Verdana" w:hAnsi="Verdana"/>
          <w:sz w:val="20"/>
          <w:szCs w:val="20"/>
        </w:rPr>
        <w:t xml:space="preserve"> which create actionable and measurable targets. </w:t>
      </w:r>
    </w:p>
    <w:p w14:paraId="17469CDA" w14:textId="6F59605E" w:rsidR="00655F93" w:rsidRPr="004F7DF5" w:rsidRDefault="00655F93" w:rsidP="00655F93">
      <w:pPr>
        <w:pStyle w:val="ListParagraph"/>
        <w:numPr>
          <w:ilvl w:val="0"/>
          <w:numId w:val="8"/>
        </w:numPr>
        <w:rPr>
          <w:rFonts w:ascii="Verdana" w:hAnsi="Verdana"/>
          <w:sz w:val="20"/>
          <w:szCs w:val="20"/>
        </w:rPr>
      </w:pPr>
      <w:r w:rsidRPr="004F7DF5">
        <w:rPr>
          <w:rFonts w:ascii="Verdana" w:hAnsi="Verdana"/>
          <w:sz w:val="20"/>
          <w:szCs w:val="20"/>
        </w:rPr>
        <w:t xml:space="preserve">Internal audits of group tutorials with </w:t>
      </w:r>
      <w:r w:rsidR="000C4472" w:rsidRPr="004F7DF5">
        <w:rPr>
          <w:rFonts w:ascii="Verdana" w:hAnsi="Verdana"/>
          <w:sz w:val="20"/>
          <w:szCs w:val="20"/>
        </w:rPr>
        <w:t>specific</w:t>
      </w:r>
      <w:r w:rsidRPr="004F7DF5">
        <w:rPr>
          <w:rFonts w:ascii="Verdana" w:hAnsi="Verdana"/>
          <w:sz w:val="20"/>
          <w:szCs w:val="20"/>
        </w:rPr>
        <w:t xml:space="preserve"> focus</w:t>
      </w:r>
      <w:r w:rsidR="000C4472" w:rsidRPr="004F7DF5">
        <w:rPr>
          <w:rFonts w:ascii="Verdana" w:hAnsi="Verdana"/>
          <w:sz w:val="20"/>
          <w:szCs w:val="20"/>
        </w:rPr>
        <w:t xml:space="preserve"> </w:t>
      </w:r>
      <w:r w:rsidRPr="004F7DF5">
        <w:rPr>
          <w:rFonts w:ascii="Verdana" w:hAnsi="Verdana"/>
          <w:sz w:val="20"/>
          <w:szCs w:val="20"/>
        </w:rPr>
        <w:t xml:space="preserve">around IAG to capture the learner voice. </w:t>
      </w:r>
    </w:p>
    <w:p w14:paraId="32CE9D17" w14:textId="0C188C48" w:rsidR="00655F93" w:rsidRPr="004F7DF5" w:rsidRDefault="00655F93" w:rsidP="00655F93">
      <w:pPr>
        <w:pStyle w:val="ListParagraph"/>
        <w:numPr>
          <w:ilvl w:val="0"/>
          <w:numId w:val="8"/>
        </w:numPr>
        <w:rPr>
          <w:rFonts w:ascii="Verdana" w:hAnsi="Verdana"/>
          <w:sz w:val="20"/>
          <w:szCs w:val="20"/>
        </w:rPr>
      </w:pPr>
      <w:r w:rsidRPr="004F7DF5">
        <w:rPr>
          <w:rFonts w:ascii="Verdana" w:hAnsi="Verdana"/>
          <w:sz w:val="20"/>
          <w:szCs w:val="20"/>
        </w:rPr>
        <w:t xml:space="preserve">Student and parent surveys which will impact on how we develop and implement changes moving forward. </w:t>
      </w:r>
    </w:p>
    <w:p w14:paraId="471CF432" w14:textId="54EA8744" w:rsidR="00655F93" w:rsidRPr="004F7DF5" w:rsidRDefault="00655F93" w:rsidP="00655F93">
      <w:pPr>
        <w:pStyle w:val="ListParagraph"/>
        <w:numPr>
          <w:ilvl w:val="0"/>
          <w:numId w:val="8"/>
        </w:numPr>
        <w:rPr>
          <w:rFonts w:ascii="Verdana" w:hAnsi="Verdana"/>
          <w:sz w:val="20"/>
          <w:szCs w:val="20"/>
        </w:rPr>
      </w:pPr>
      <w:r w:rsidRPr="004F7DF5">
        <w:rPr>
          <w:rFonts w:ascii="Verdana" w:hAnsi="Verdana"/>
          <w:sz w:val="20"/>
          <w:szCs w:val="20"/>
        </w:rPr>
        <w:t xml:space="preserve">Maintain and continue to encompass the requirements within the matrix quality standard. </w:t>
      </w:r>
    </w:p>
    <w:p w14:paraId="0E5F55A7" w14:textId="1687400E" w:rsidR="00655F93" w:rsidRPr="004F7DF5" w:rsidRDefault="00655F93" w:rsidP="00655F93">
      <w:pPr>
        <w:pStyle w:val="ListParagraph"/>
        <w:numPr>
          <w:ilvl w:val="0"/>
          <w:numId w:val="8"/>
        </w:numPr>
        <w:rPr>
          <w:rFonts w:ascii="Verdana" w:hAnsi="Verdana"/>
          <w:sz w:val="20"/>
          <w:szCs w:val="20"/>
        </w:rPr>
      </w:pPr>
      <w:r w:rsidRPr="004F7DF5">
        <w:rPr>
          <w:rFonts w:ascii="Verdana" w:hAnsi="Verdana"/>
          <w:sz w:val="20"/>
          <w:szCs w:val="20"/>
        </w:rPr>
        <w:t>Standardisation meetings and actions focused around IAG</w:t>
      </w:r>
      <w:r w:rsidR="000C4472" w:rsidRPr="004F7DF5">
        <w:rPr>
          <w:rFonts w:ascii="Verdana" w:hAnsi="Verdana"/>
          <w:sz w:val="20"/>
          <w:szCs w:val="20"/>
        </w:rPr>
        <w:t xml:space="preserve"> with actionable minutes. </w:t>
      </w:r>
    </w:p>
    <w:p w14:paraId="3CD2439F" w14:textId="37ADC944" w:rsidR="00047230" w:rsidRPr="004F7DF5" w:rsidRDefault="00047230" w:rsidP="00655F93">
      <w:pPr>
        <w:pStyle w:val="ListParagraph"/>
        <w:numPr>
          <w:ilvl w:val="0"/>
          <w:numId w:val="8"/>
        </w:numPr>
        <w:rPr>
          <w:rFonts w:ascii="Verdana" w:hAnsi="Verdana"/>
          <w:sz w:val="20"/>
          <w:szCs w:val="20"/>
        </w:rPr>
      </w:pPr>
      <w:r w:rsidRPr="004F7DF5">
        <w:rPr>
          <w:rFonts w:ascii="Verdana" w:hAnsi="Verdana"/>
          <w:sz w:val="20"/>
          <w:szCs w:val="20"/>
        </w:rPr>
        <w:t>Curriculum planning meetings with employers twice yearly to ensure that courses meet the needs of the employer</w:t>
      </w:r>
      <w:r w:rsidR="00BC38F5" w:rsidRPr="004F7DF5">
        <w:rPr>
          <w:rFonts w:ascii="Verdana" w:hAnsi="Verdana"/>
          <w:sz w:val="20"/>
          <w:szCs w:val="20"/>
        </w:rPr>
        <w:t xml:space="preserve"> to be minuted and incorporated within schemes of work. </w:t>
      </w:r>
    </w:p>
    <w:p w14:paraId="273CD8CB" w14:textId="37E9370A" w:rsidR="005033C2" w:rsidRPr="004F7DF5" w:rsidRDefault="000C4472" w:rsidP="00655F93">
      <w:pPr>
        <w:pStyle w:val="ListParagraph"/>
        <w:numPr>
          <w:ilvl w:val="0"/>
          <w:numId w:val="8"/>
        </w:numPr>
        <w:rPr>
          <w:rFonts w:ascii="Verdana" w:hAnsi="Verdana"/>
          <w:sz w:val="20"/>
          <w:szCs w:val="20"/>
        </w:rPr>
      </w:pPr>
      <w:r w:rsidRPr="004F7DF5">
        <w:rPr>
          <w:rFonts w:ascii="Verdana" w:hAnsi="Verdana"/>
          <w:sz w:val="20"/>
          <w:szCs w:val="20"/>
        </w:rPr>
        <w:t>Meet the requirements of third-party inspections and e</w:t>
      </w:r>
      <w:r w:rsidR="005033C2" w:rsidRPr="004F7DF5">
        <w:rPr>
          <w:rFonts w:ascii="Verdana" w:hAnsi="Verdana"/>
          <w:sz w:val="20"/>
          <w:szCs w:val="20"/>
        </w:rPr>
        <w:t>xternal quality assurance including Matrix standard, OFSTED, awarding bodies</w:t>
      </w:r>
      <w:r w:rsidR="00BC38F5" w:rsidRPr="004F7DF5">
        <w:rPr>
          <w:rFonts w:ascii="Verdana" w:hAnsi="Verdana"/>
          <w:sz w:val="20"/>
          <w:szCs w:val="20"/>
        </w:rPr>
        <w:t>,</w:t>
      </w:r>
      <w:r w:rsidR="005033C2" w:rsidRPr="004F7DF5">
        <w:rPr>
          <w:rFonts w:ascii="Verdana" w:hAnsi="Verdana"/>
          <w:sz w:val="20"/>
          <w:szCs w:val="20"/>
        </w:rPr>
        <w:t xml:space="preserve"> EQA visits</w:t>
      </w:r>
      <w:r w:rsidRPr="004F7DF5">
        <w:rPr>
          <w:rFonts w:ascii="Verdana" w:hAnsi="Verdana"/>
          <w:sz w:val="20"/>
          <w:szCs w:val="20"/>
        </w:rPr>
        <w:t xml:space="preserve"> etc. </w:t>
      </w:r>
    </w:p>
    <w:p w14:paraId="3F4D5C1E" w14:textId="0BF2B07C" w:rsidR="00445F38" w:rsidRPr="004F7DF5" w:rsidRDefault="00445F38" w:rsidP="00655F93">
      <w:pPr>
        <w:pStyle w:val="ListParagraph"/>
        <w:numPr>
          <w:ilvl w:val="0"/>
          <w:numId w:val="8"/>
        </w:numPr>
        <w:rPr>
          <w:rFonts w:ascii="Verdana" w:hAnsi="Verdana"/>
          <w:sz w:val="20"/>
          <w:szCs w:val="20"/>
        </w:rPr>
      </w:pPr>
      <w:r w:rsidRPr="004F7DF5">
        <w:rPr>
          <w:rFonts w:ascii="Verdana" w:hAnsi="Verdana"/>
          <w:sz w:val="20"/>
          <w:szCs w:val="20"/>
        </w:rPr>
        <w:t xml:space="preserve">Monitoring of learner attendance and achievement rates. </w:t>
      </w:r>
    </w:p>
    <w:p w14:paraId="7DD384CF" w14:textId="5A2D4F93" w:rsidR="00445F38" w:rsidRPr="004F7DF5" w:rsidRDefault="00445F38" w:rsidP="00655F93">
      <w:pPr>
        <w:pStyle w:val="ListParagraph"/>
        <w:numPr>
          <w:ilvl w:val="0"/>
          <w:numId w:val="8"/>
        </w:numPr>
        <w:rPr>
          <w:rFonts w:ascii="Verdana" w:hAnsi="Verdana"/>
          <w:sz w:val="20"/>
          <w:szCs w:val="20"/>
        </w:rPr>
      </w:pPr>
      <w:r w:rsidRPr="004F7DF5">
        <w:rPr>
          <w:rFonts w:ascii="Verdana" w:hAnsi="Verdana"/>
          <w:sz w:val="20"/>
          <w:szCs w:val="20"/>
        </w:rPr>
        <w:t xml:space="preserve">Learner progression and destination data to measure impact. </w:t>
      </w:r>
    </w:p>
    <w:p w14:paraId="1FACADC0" w14:textId="77777777" w:rsidR="00047230" w:rsidRPr="004F7DF5" w:rsidRDefault="00047230" w:rsidP="00047230">
      <w:pPr>
        <w:pStyle w:val="ListParagraph"/>
        <w:rPr>
          <w:rFonts w:ascii="Verdana" w:hAnsi="Verdana"/>
          <w:sz w:val="20"/>
          <w:szCs w:val="20"/>
        </w:rPr>
      </w:pPr>
    </w:p>
    <w:p w14:paraId="23915F82" w14:textId="56D86090" w:rsidR="00047230" w:rsidRPr="004F7DF5" w:rsidRDefault="00047230" w:rsidP="2FC1284C">
      <w:pPr>
        <w:pStyle w:val="ListParagraph"/>
        <w:numPr>
          <w:ilvl w:val="0"/>
          <w:numId w:val="1"/>
        </w:numPr>
        <w:ind w:left="360"/>
        <w:rPr>
          <w:rFonts w:ascii="Verdana" w:hAnsi="Verdana"/>
          <w:b/>
          <w:bCs/>
          <w:sz w:val="20"/>
          <w:szCs w:val="20"/>
        </w:rPr>
      </w:pPr>
      <w:r w:rsidRPr="004F7DF5">
        <w:rPr>
          <w:rFonts w:ascii="Verdana" w:hAnsi="Verdana"/>
          <w:b/>
          <w:bCs/>
          <w:sz w:val="20"/>
          <w:szCs w:val="20"/>
        </w:rPr>
        <w:t>Responsibilities for IAG delivery and impact measuring:</w:t>
      </w:r>
    </w:p>
    <w:p w14:paraId="32E4192C" w14:textId="77777777" w:rsidR="00970175" w:rsidRPr="004F7DF5" w:rsidRDefault="00970175" w:rsidP="00970175">
      <w:pPr>
        <w:rPr>
          <w:rFonts w:ascii="Verdana" w:hAnsi="Verdana"/>
          <w:color w:val="000000" w:themeColor="text1"/>
          <w:sz w:val="20"/>
          <w:szCs w:val="20"/>
        </w:rPr>
      </w:pPr>
    </w:p>
    <w:p w14:paraId="32E51BB2" w14:textId="7F374016" w:rsidR="00BF4D04" w:rsidRPr="004F7DF5" w:rsidRDefault="00BF4D04" w:rsidP="00BF4D04">
      <w:pPr>
        <w:rPr>
          <w:rFonts w:ascii="Verdana" w:hAnsi="Verdana"/>
          <w:color w:val="000000" w:themeColor="text1"/>
          <w:sz w:val="20"/>
          <w:szCs w:val="20"/>
        </w:rPr>
      </w:pPr>
      <w:r w:rsidRPr="004F7DF5">
        <w:rPr>
          <w:rFonts w:ascii="Verdana" w:hAnsi="Verdana"/>
          <w:color w:val="000000" w:themeColor="text1"/>
          <w:sz w:val="20"/>
          <w:szCs w:val="20"/>
        </w:rPr>
        <w:t>Roles</w:t>
      </w:r>
      <w:r w:rsidR="00405B03" w:rsidRPr="004F7DF5">
        <w:rPr>
          <w:rFonts w:ascii="Verdana" w:hAnsi="Verdana"/>
          <w:color w:val="000000" w:themeColor="text1"/>
          <w:sz w:val="20"/>
          <w:szCs w:val="20"/>
        </w:rPr>
        <w:t xml:space="preserve"> shown below</w:t>
      </w:r>
      <w:r w:rsidR="00970175" w:rsidRPr="004F7DF5">
        <w:rPr>
          <w:rFonts w:ascii="Verdana" w:hAnsi="Verdana"/>
          <w:color w:val="000000" w:themeColor="text1"/>
          <w:sz w:val="20"/>
          <w:szCs w:val="20"/>
        </w:rPr>
        <w:t xml:space="preserve"> highlight </w:t>
      </w:r>
      <w:r w:rsidR="00970175" w:rsidRPr="004F7DF5">
        <w:rPr>
          <w:rFonts w:ascii="Verdana" w:hAnsi="Verdana"/>
          <w:b/>
          <w:bCs/>
          <w:color w:val="000000" w:themeColor="text1"/>
          <w:sz w:val="20"/>
          <w:szCs w:val="20"/>
        </w:rPr>
        <w:t>some</w:t>
      </w:r>
      <w:r w:rsidR="00970175" w:rsidRPr="004F7DF5">
        <w:rPr>
          <w:rFonts w:ascii="Verdana" w:hAnsi="Verdana"/>
          <w:color w:val="000000" w:themeColor="text1"/>
          <w:sz w:val="20"/>
          <w:szCs w:val="20"/>
        </w:rPr>
        <w:t xml:space="preserve"> of the specific areas of responsibility</w:t>
      </w:r>
      <w:r w:rsidRPr="004F7DF5">
        <w:rPr>
          <w:rFonts w:ascii="Verdana" w:hAnsi="Verdana"/>
          <w:color w:val="000000" w:themeColor="text1"/>
          <w:sz w:val="20"/>
          <w:szCs w:val="20"/>
        </w:rPr>
        <w:t xml:space="preserve"> in ensuring the delivery and impact measuring of IAG in all our centres. </w:t>
      </w:r>
    </w:p>
    <w:p w14:paraId="71700BFD" w14:textId="77AFF99A" w:rsidR="00970175" w:rsidRPr="004F7DF5" w:rsidRDefault="00BF4D04" w:rsidP="00970175">
      <w:pPr>
        <w:rPr>
          <w:rFonts w:ascii="Verdana" w:hAnsi="Verdana"/>
          <w:sz w:val="20"/>
          <w:szCs w:val="20"/>
        </w:rPr>
      </w:pPr>
      <w:r w:rsidRPr="004F7DF5">
        <w:rPr>
          <w:rFonts w:ascii="Verdana" w:hAnsi="Verdana"/>
          <w:sz w:val="20"/>
          <w:szCs w:val="20"/>
        </w:rPr>
        <w:t xml:space="preserve"> </w:t>
      </w:r>
    </w:p>
    <w:p w14:paraId="61B04CFF" w14:textId="0A971CFC" w:rsidR="00047230" w:rsidRPr="004F7DF5" w:rsidRDefault="00047230" w:rsidP="00405B03">
      <w:pPr>
        <w:pStyle w:val="ListParagraph"/>
        <w:ind w:left="0"/>
        <w:rPr>
          <w:rFonts w:ascii="Verdana" w:hAnsi="Verdana"/>
          <w:sz w:val="20"/>
          <w:szCs w:val="20"/>
        </w:rPr>
      </w:pPr>
      <w:r w:rsidRPr="004F7DF5">
        <w:rPr>
          <w:rFonts w:ascii="Verdana" w:hAnsi="Verdana"/>
          <w:b/>
          <w:bCs/>
          <w:sz w:val="20"/>
          <w:szCs w:val="20"/>
        </w:rPr>
        <w:t>Director of Lifelong Learning</w:t>
      </w:r>
      <w:r w:rsidR="00970175" w:rsidRPr="004F7DF5">
        <w:rPr>
          <w:rFonts w:ascii="Verdana" w:hAnsi="Verdana"/>
          <w:b/>
          <w:bCs/>
          <w:sz w:val="20"/>
          <w:szCs w:val="20"/>
        </w:rPr>
        <w:t xml:space="preserve"> –</w:t>
      </w:r>
      <w:r w:rsidR="00970175" w:rsidRPr="004F7DF5">
        <w:rPr>
          <w:rFonts w:ascii="Verdana" w:hAnsi="Verdana"/>
          <w:sz w:val="20"/>
          <w:szCs w:val="20"/>
        </w:rPr>
        <w:t xml:space="preserve"> Reports to SLT and LLL committee progression and completion rates, supports centre managers and tutors with external links for IAG delivery</w:t>
      </w:r>
      <w:r w:rsidR="00764555" w:rsidRPr="004F7DF5">
        <w:rPr>
          <w:rFonts w:ascii="Verdana" w:hAnsi="Verdana"/>
          <w:sz w:val="20"/>
          <w:szCs w:val="20"/>
        </w:rPr>
        <w:t xml:space="preserve">. </w:t>
      </w:r>
      <w:r w:rsidR="00970175" w:rsidRPr="004F7DF5">
        <w:rPr>
          <w:rFonts w:ascii="Verdana" w:hAnsi="Verdana"/>
          <w:sz w:val="20"/>
          <w:szCs w:val="20"/>
        </w:rPr>
        <w:t xml:space="preserve"> </w:t>
      </w:r>
    </w:p>
    <w:p w14:paraId="403DF941" w14:textId="7020E225" w:rsidR="00764555" w:rsidRPr="004F7DF5" w:rsidRDefault="00764555" w:rsidP="00405B03">
      <w:pPr>
        <w:pStyle w:val="ListParagraph"/>
        <w:ind w:left="0"/>
        <w:rPr>
          <w:rFonts w:ascii="Verdana" w:hAnsi="Verdana"/>
          <w:b/>
          <w:bCs/>
          <w:sz w:val="20"/>
          <w:szCs w:val="20"/>
        </w:rPr>
      </w:pPr>
      <w:r w:rsidRPr="004F7DF5">
        <w:rPr>
          <w:rFonts w:ascii="Verdana" w:hAnsi="Verdana"/>
          <w:b/>
          <w:bCs/>
          <w:sz w:val="20"/>
          <w:szCs w:val="20"/>
        </w:rPr>
        <w:lastRenderedPageBreak/>
        <w:t xml:space="preserve">Head of </w:t>
      </w:r>
      <w:r w:rsidR="00047230" w:rsidRPr="004F7DF5">
        <w:rPr>
          <w:rFonts w:ascii="Verdana" w:hAnsi="Verdana"/>
          <w:b/>
          <w:bCs/>
          <w:sz w:val="20"/>
          <w:szCs w:val="20"/>
        </w:rPr>
        <w:t>Training and Education Managers</w:t>
      </w:r>
      <w:r w:rsidR="00970175" w:rsidRPr="004F7DF5">
        <w:rPr>
          <w:rFonts w:ascii="Verdana" w:hAnsi="Verdana"/>
          <w:b/>
          <w:bCs/>
          <w:sz w:val="20"/>
          <w:szCs w:val="20"/>
        </w:rPr>
        <w:t xml:space="preserve"> –</w:t>
      </w:r>
      <w:r w:rsidRPr="004F7DF5">
        <w:rPr>
          <w:rFonts w:ascii="Verdana" w:hAnsi="Verdana"/>
          <w:sz w:val="20"/>
          <w:szCs w:val="20"/>
        </w:rPr>
        <w:t xml:space="preserve"> Includes IAG as a regular agenda item in leadership meetings, challenge managers and tutors in regards to the delivery and impact of the IAG we deliver, provide external links to other organisations, and link other leaders, or staff members that can support Key college with the implementation of IAG across all centres.</w:t>
      </w:r>
    </w:p>
    <w:p w14:paraId="45826C94" w14:textId="77777777" w:rsidR="00764555" w:rsidRPr="004F7DF5" w:rsidRDefault="00764555" w:rsidP="00405B03">
      <w:pPr>
        <w:pStyle w:val="ListParagraph"/>
        <w:ind w:left="0"/>
        <w:rPr>
          <w:rFonts w:ascii="Verdana" w:hAnsi="Verdana"/>
          <w:b/>
          <w:bCs/>
          <w:sz w:val="20"/>
          <w:szCs w:val="20"/>
        </w:rPr>
      </w:pPr>
    </w:p>
    <w:p w14:paraId="4386B4CB" w14:textId="7AC4AD15" w:rsidR="00047230" w:rsidRPr="004F7DF5" w:rsidRDefault="00764555" w:rsidP="00405B03">
      <w:pPr>
        <w:pStyle w:val="ListParagraph"/>
        <w:ind w:left="0"/>
        <w:rPr>
          <w:rFonts w:ascii="Verdana" w:hAnsi="Verdana"/>
          <w:sz w:val="20"/>
          <w:szCs w:val="20"/>
        </w:rPr>
      </w:pPr>
      <w:r w:rsidRPr="004F7DF5">
        <w:rPr>
          <w:rFonts w:ascii="Verdana" w:hAnsi="Verdana"/>
          <w:b/>
          <w:bCs/>
          <w:sz w:val="20"/>
          <w:szCs w:val="20"/>
        </w:rPr>
        <w:t>Training and education managers -</w:t>
      </w:r>
      <w:r w:rsidRPr="004F7DF5">
        <w:rPr>
          <w:rFonts w:ascii="Verdana" w:hAnsi="Verdana"/>
          <w:sz w:val="20"/>
          <w:szCs w:val="20"/>
        </w:rPr>
        <w:t xml:space="preserve"> </w:t>
      </w:r>
      <w:r w:rsidR="00970175" w:rsidRPr="004F7DF5">
        <w:rPr>
          <w:rFonts w:ascii="Verdana" w:hAnsi="Verdana"/>
          <w:sz w:val="20"/>
          <w:szCs w:val="20"/>
        </w:rPr>
        <w:t>Reports into leadership meetings IAG activities, ensures logs of IAG activities are recorded for each site, displays and resources in centres are up to date, supports and facilitates external visitors and trips around IAG</w:t>
      </w:r>
      <w:r w:rsidR="00555E42" w:rsidRPr="004F7DF5">
        <w:rPr>
          <w:rFonts w:ascii="Verdana" w:hAnsi="Verdana"/>
          <w:sz w:val="20"/>
          <w:szCs w:val="20"/>
        </w:rPr>
        <w:t xml:space="preserve">, identify where there </w:t>
      </w:r>
      <w:r w:rsidR="00B52BC3" w:rsidRPr="004F7DF5">
        <w:rPr>
          <w:rFonts w:ascii="Verdana" w:hAnsi="Verdana"/>
          <w:sz w:val="20"/>
          <w:szCs w:val="20"/>
        </w:rPr>
        <w:t xml:space="preserve">are </w:t>
      </w:r>
      <w:r w:rsidR="00555E42" w:rsidRPr="004F7DF5">
        <w:rPr>
          <w:rFonts w:ascii="Verdana" w:hAnsi="Verdana"/>
          <w:sz w:val="20"/>
          <w:szCs w:val="20"/>
        </w:rPr>
        <w:t>gaps in knowledge and skill set</w:t>
      </w:r>
      <w:r w:rsidR="00B52BC3" w:rsidRPr="004F7DF5">
        <w:rPr>
          <w:rFonts w:ascii="Verdana" w:hAnsi="Verdana"/>
          <w:sz w:val="20"/>
          <w:szCs w:val="20"/>
        </w:rPr>
        <w:t>s within our teams</w:t>
      </w:r>
      <w:r w:rsidR="00555E42" w:rsidRPr="004F7DF5">
        <w:rPr>
          <w:rFonts w:ascii="Verdana" w:hAnsi="Verdana"/>
          <w:sz w:val="20"/>
          <w:szCs w:val="20"/>
        </w:rPr>
        <w:t xml:space="preserve"> and source external or further internal support to cover these gaps</w:t>
      </w:r>
      <w:r w:rsidR="00B52BC3" w:rsidRPr="004F7DF5">
        <w:rPr>
          <w:rFonts w:ascii="Verdana" w:hAnsi="Verdana"/>
          <w:sz w:val="20"/>
          <w:szCs w:val="20"/>
        </w:rPr>
        <w:t xml:space="preserve">, provide support to tutors in day to day delivery, enable centres to enhance the delivery of IAG through displays, layouts etc. </w:t>
      </w:r>
      <w:r w:rsidRPr="004F7DF5">
        <w:rPr>
          <w:rFonts w:ascii="Verdana" w:hAnsi="Verdana"/>
          <w:sz w:val="20"/>
          <w:szCs w:val="20"/>
        </w:rPr>
        <w:t xml:space="preserve">Has IAG as a regular agenda item on team meetings. </w:t>
      </w:r>
    </w:p>
    <w:p w14:paraId="23DBD293" w14:textId="77777777" w:rsidR="00764555" w:rsidRPr="004F7DF5" w:rsidRDefault="00764555" w:rsidP="00405B03">
      <w:pPr>
        <w:pStyle w:val="ListParagraph"/>
        <w:ind w:left="0"/>
        <w:rPr>
          <w:rFonts w:ascii="Verdana" w:hAnsi="Verdana"/>
          <w:sz w:val="20"/>
          <w:szCs w:val="20"/>
        </w:rPr>
      </w:pPr>
    </w:p>
    <w:p w14:paraId="5B088598" w14:textId="2B4E5103" w:rsidR="00764555" w:rsidRPr="004F7DF5" w:rsidRDefault="00764555" w:rsidP="00405B03">
      <w:pPr>
        <w:pStyle w:val="ListParagraph"/>
        <w:ind w:left="0"/>
        <w:rPr>
          <w:rFonts w:ascii="Verdana" w:hAnsi="Verdana"/>
          <w:sz w:val="20"/>
          <w:szCs w:val="20"/>
        </w:rPr>
      </w:pPr>
      <w:r w:rsidRPr="004F7DF5">
        <w:rPr>
          <w:rFonts w:ascii="Verdana" w:hAnsi="Verdana"/>
          <w:b/>
          <w:bCs/>
          <w:sz w:val="20"/>
          <w:szCs w:val="20"/>
        </w:rPr>
        <w:t xml:space="preserve">Careers Co-ordinator – </w:t>
      </w:r>
      <w:r w:rsidRPr="004F7DF5">
        <w:rPr>
          <w:rFonts w:ascii="Verdana" w:hAnsi="Verdana"/>
          <w:sz w:val="20"/>
          <w:szCs w:val="20"/>
        </w:rPr>
        <w:t>To support centres and tutors with sourcing work experience placements, industry speakers and visits.</w:t>
      </w:r>
      <w:r w:rsidRPr="004F7DF5">
        <w:rPr>
          <w:rFonts w:ascii="Verdana" w:hAnsi="Verdana"/>
          <w:b/>
          <w:bCs/>
          <w:sz w:val="20"/>
          <w:szCs w:val="20"/>
        </w:rPr>
        <w:t xml:space="preserve"> </w:t>
      </w:r>
      <w:r w:rsidRPr="004F7DF5">
        <w:rPr>
          <w:rFonts w:ascii="Verdana" w:hAnsi="Verdana"/>
          <w:sz w:val="20"/>
          <w:szCs w:val="20"/>
        </w:rPr>
        <w:t xml:space="preserve">To provide one to one </w:t>
      </w:r>
      <w:r w:rsidR="005D67E0" w:rsidRPr="004F7DF5">
        <w:rPr>
          <w:rFonts w:ascii="Verdana" w:hAnsi="Verdana"/>
          <w:sz w:val="20"/>
          <w:szCs w:val="20"/>
        </w:rPr>
        <w:t xml:space="preserve">sessions </w:t>
      </w:r>
      <w:r w:rsidRPr="004F7DF5">
        <w:rPr>
          <w:rFonts w:ascii="Verdana" w:hAnsi="Verdana"/>
          <w:sz w:val="20"/>
          <w:szCs w:val="20"/>
        </w:rPr>
        <w:t>for learners to engage with IAG talks.</w:t>
      </w:r>
      <w:r w:rsidRPr="004F7DF5">
        <w:rPr>
          <w:rFonts w:ascii="Verdana" w:hAnsi="Verdana"/>
          <w:b/>
          <w:bCs/>
          <w:sz w:val="20"/>
          <w:szCs w:val="20"/>
        </w:rPr>
        <w:t xml:space="preserve"> </w:t>
      </w:r>
      <w:r w:rsidRPr="004F7DF5">
        <w:rPr>
          <w:rFonts w:ascii="Verdana" w:hAnsi="Verdana"/>
          <w:sz w:val="20"/>
          <w:szCs w:val="20"/>
        </w:rPr>
        <w:t xml:space="preserve">To maintain and update the careers calendar. To build and maintain connections with external organisations. To monitor and report on all feedback and impact of delivery. </w:t>
      </w:r>
    </w:p>
    <w:p w14:paraId="607D7F24" w14:textId="77777777" w:rsidR="00764555" w:rsidRPr="004F7DF5" w:rsidRDefault="00764555" w:rsidP="00405B03">
      <w:pPr>
        <w:pStyle w:val="ListParagraph"/>
        <w:ind w:left="0"/>
        <w:rPr>
          <w:rFonts w:ascii="Verdana" w:hAnsi="Verdana"/>
          <w:b/>
          <w:bCs/>
          <w:sz w:val="20"/>
          <w:szCs w:val="20"/>
        </w:rPr>
      </w:pPr>
    </w:p>
    <w:p w14:paraId="21D2A7A4" w14:textId="4B39E94A" w:rsidR="00047230" w:rsidRPr="004F7DF5" w:rsidRDefault="00047230" w:rsidP="00405B03">
      <w:pPr>
        <w:pStyle w:val="ListParagraph"/>
        <w:ind w:left="0"/>
        <w:rPr>
          <w:rFonts w:ascii="Verdana" w:hAnsi="Verdana"/>
          <w:sz w:val="20"/>
          <w:szCs w:val="20"/>
        </w:rPr>
      </w:pPr>
      <w:r w:rsidRPr="004F7DF5">
        <w:rPr>
          <w:rFonts w:ascii="Verdana" w:hAnsi="Verdana"/>
          <w:b/>
          <w:bCs/>
          <w:sz w:val="20"/>
          <w:szCs w:val="20"/>
        </w:rPr>
        <w:t>Programme Tutors</w:t>
      </w:r>
      <w:r w:rsidR="00970175" w:rsidRPr="004F7DF5">
        <w:rPr>
          <w:rFonts w:ascii="Verdana" w:hAnsi="Verdana"/>
          <w:b/>
          <w:bCs/>
          <w:sz w:val="20"/>
          <w:szCs w:val="20"/>
        </w:rPr>
        <w:t xml:space="preserve"> – </w:t>
      </w:r>
      <w:r w:rsidR="00970175" w:rsidRPr="004F7DF5">
        <w:rPr>
          <w:rFonts w:ascii="Verdana" w:hAnsi="Verdana"/>
          <w:sz w:val="20"/>
          <w:szCs w:val="20"/>
        </w:rPr>
        <w:t xml:space="preserve">Embed IAG </w:t>
      </w:r>
      <w:r w:rsidR="00231583" w:rsidRPr="004F7DF5">
        <w:rPr>
          <w:rFonts w:ascii="Verdana" w:hAnsi="Verdana"/>
          <w:sz w:val="20"/>
          <w:szCs w:val="20"/>
        </w:rPr>
        <w:t xml:space="preserve">delivery within </w:t>
      </w:r>
      <w:r w:rsidR="00970175" w:rsidRPr="004F7DF5">
        <w:rPr>
          <w:rFonts w:ascii="Verdana" w:hAnsi="Verdana"/>
          <w:sz w:val="20"/>
          <w:szCs w:val="20"/>
        </w:rPr>
        <w:t xml:space="preserve">their session plans and schemes of work, record </w:t>
      </w:r>
      <w:r w:rsidR="00555E42" w:rsidRPr="004F7DF5">
        <w:rPr>
          <w:rFonts w:ascii="Verdana" w:hAnsi="Verdana"/>
          <w:sz w:val="20"/>
          <w:szCs w:val="20"/>
        </w:rPr>
        <w:t xml:space="preserve">individual learner </w:t>
      </w:r>
      <w:r w:rsidR="00970175" w:rsidRPr="004F7DF5">
        <w:rPr>
          <w:rFonts w:ascii="Verdana" w:hAnsi="Verdana"/>
          <w:sz w:val="20"/>
          <w:szCs w:val="20"/>
        </w:rPr>
        <w:t>engagement with IAG activities, conducts one to one reviews and group tutorials, identif</w:t>
      </w:r>
      <w:r w:rsidR="00231583" w:rsidRPr="004F7DF5">
        <w:rPr>
          <w:rFonts w:ascii="Verdana" w:hAnsi="Verdana"/>
          <w:sz w:val="20"/>
          <w:szCs w:val="20"/>
        </w:rPr>
        <w:t>y</w:t>
      </w:r>
      <w:r w:rsidR="00970175" w:rsidRPr="004F7DF5">
        <w:rPr>
          <w:rFonts w:ascii="Verdana" w:hAnsi="Verdana"/>
          <w:sz w:val="20"/>
          <w:szCs w:val="20"/>
        </w:rPr>
        <w:t xml:space="preserve"> and organ</w:t>
      </w:r>
      <w:r w:rsidR="00231583" w:rsidRPr="004F7DF5">
        <w:rPr>
          <w:rFonts w:ascii="Verdana" w:hAnsi="Verdana"/>
          <w:sz w:val="20"/>
          <w:szCs w:val="20"/>
        </w:rPr>
        <w:t xml:space="preserve">ise </w:t>
      </w:r>
      <w:r w:rsidR="00970175" w:rsidRPr="004F7DF5">
        <w:rPr>
          <w:rFonts w:ascii="Verdana" w:hAnsi="Verdana"/>
          <w:sz w:val="20"/>
          <w:szCs w:val="20"/>
        </w:rPr>
        <w:t>appropriate trips and external speakers</w:t>
      </w:r>
      <w:r w:rsidR="00555E42" w:rsidRPr="004F7DF5">
        <w:rPr>
          <w:rFonts w:ascii="Verdana" w:hAnsi="Verdana"/>
          <w:sz w:val="20"/>
          <w:szCs w:val="20"/>
        </w:rPr>
        <w:t>, encourage learner use of the learner handbook</w:t>
      </w:r>
      <w:r w:rsidR="005D67E0" w:rsidRPr="004F7DF5">
        <w:rPr>
          <w:rFonts w:ascii="Verdana" w:hAnsi="Verdana"/>
          <w:sz w:val="20"/>
          <w:szCs w:val="20"/>
        </w:rPr>
        <w:t xml:space="preserve"> and careers folders</w:t>
      </w:r>
      <w:r w:rsidR="00555E42" w:rsidRPr="004F7DF5">
        <w:rPr>
          <w:rFonts w:ascii="Verdana" w:hAnsi="Verdana"/>
          <w:sz w:val="20"/>
          <w:szCs w:val="20"/>
        </w:rPr>
        <w:t xml:space="preserve"> and integrate the learner handbook into </w:t>
      </w:r>
      <w:r w:rsidR="00B52BC3" w:rsidRPr="004F7DF5">
        <w:rPr>
          <w:rFonts w:ascii="Verdana" w:hAnsi="Verdana"/>
          <w:sz w:val="20"/>
          <w:szCs w:val="20"/>
        </w:rPr>
        <w:t>a student’s programme,</w:t>
      </w:r>
      <w:r w:rsidR="00555E42" w:rsidRPr="004F7DF5">
        <w:rPr>
          <w:rFonts w:ascii="Verdana" w:hAnsi="Verdana"/>
          <w:sz w:val="20"/>
          <w:szCs w:val="20"/>
        </w:rPr>
        <w:t xml:space="preserve"> identify areas where additional support may be required</w:t>
      </w:r>
      <w:r w:rsidR="00231583" w:rsidRPr="004F7DF5">
        <w:rPr>
          <w:rFonts w:ascii="Verdana" w:hAnsi="Verdana"/>
          <w:sz w:val="20"/>
          <w:szCs w:val="20"/>
        </w:rPr>
        <w:t xml:space="preserve"> and report to leadership team</w:t>
      </w:r>
      <w:r w:rsidR="00B52BC3" w:rsidRPr="004F7DF5">
        <w:rPr>
          <w:rFonts w:ascii="Verdana" w:hAnsi="Verdana"/>
          <w:sz w:val="20"/>
          <w:szCs w:val="20"/>
        </w:rPr>
        <w:t xml:space="preserve"> where gaps in knowledge are identified. </w:t>
      </w:r>
    </w:p>
    <w:p w14:paraId="7C785D6C" w14:textId="77777777" w:rsidR="00764555" w:rsidRPr="004F7DF5" w:rsidRDefault="00764555" w:rsidP="00405B03">
      <w:pPr>
        <w:pStyle w:val="ListParagraph"/>
        <w:ind w:left="0"/>
        <w:rPr>
          <w:rFonts w:ascii="Verdana" w:hAnsi="Verdana"/>
          <w:b/>
          <w:bCs/>
          <w:sz w:val="20"/>
          <w:szCs w:val="20"/>
        </w:rPr>
      </w:pPr>
    </w:p>
    <w:p w14:paraId="2975F487" w14:textId="30CE132C" w:rsidR="00047230" w:rsidRPr="004F7DF5" w:rsidRDefault="00047230" w:rsidP="00405B03">
      <w:pPr>
        <w:pStyle w:val="ListParagraph"/>
        <w:ind w:left="0"/>
        <w:rPr>
          <w:rFonts w:ascii="Verdana" w:hAnsi="Verdana"/>
          <w:sz w:val="20"/>
          <w:szCs w:val="20"/>
        </w:rPr>
      </w:pPr>
      <w:r w:rsidRPr="004F7DF5">
        <w:rPr>
          <w:rFonts w:ascii="Verdana" w:hAnsi="Verdana"/>
          <w:b/>
          <w:bCs/>
          <w:sz w:val="20"/>
          <w:szCs w:val="20"/>
        </w:rPr>
        <w:t>Volunteers</w:t>
      </w:r>
      <w:r w:rsidR="0048285D" w:rsidRPr="004F7DF5">
        <w:rPr>
          <w:rFonts w:ascii="Verdana" w:hAnsi="Verdana"/>
          <w:b/>
          <w:bCs/>
          <w:sz w:val="20"/>
          <w:szCs w:val="20"/>
        </w:rPr>
        <w:t>/university placements</w:t>
      </w:r>
      <w:r w:rsidR="00970175" w:rsidRPr="004F7DF5">
        <w:rPr>
          <w:rFonts w:ascii="Verdana" w:hAnsi="Verdana"/>
          <w:sz w:val="20"/>
          <w:szCs w:val="20"/>
        </w:rPr>
        <w:t xml:space="preserve"> </w:t>
      </w:r>
      <w:r w:rsidR="00231583" w:rsidRPr="004F7DF5">
        <w:rPr>
          <w:rFonts w:ascii="Verdana" w:hAnsi="Verdana"/>
          <w:sz w:val="20"/>
          <w:szCs w:val="20"/>
        </w:rPr>
        <w:t>– To support tutors and managers</w:t>
      </w:r>
      <w:r w:rsidR="005D67E0" w:rsidRPr="004F7DF5">
        <w:rPr>
          <w:rFonts w:ascii="Verdana" w:hAnsi="Verdana"/>
          <w:sz w:val="20"/>
          <w:szCs w:val="20"/>
        </w:rPr>
        <w:t xml:space="preserve"> and careers co-ordinator</w:t>
      </w:r>
      <w:r w:rsidR="00231583" w:rsidRPr="004F7DF5">
        <w:rPr>
          <w:rFonts w:ascii="Verdana" w:hAnsi="Verdana"/>
          <w:sz w:val="20"/>
          <w:szCs w:val="20"/>
        </w:rPr>
        <w:t xml:space="preserve"> in delivery of the above and provi</w:t>
      </w:r>
      <w:r w:rsidR="00B52BC3" w:rsidRPr="004F7DF5">
        <w:rPr>
          <w:rFonts w:ascii="Verdana" w:hAnsi="Verdana"/>
          <w:sz w:val="20"/>
          <w:szCs w:val="20"/>
        </w:rPr>
        <w:t>de additional knowledge and support</w:t>
      </w:r>
      <w:r w:rsidR="00231583" w:rsidRPr="004F7DF5">
        <w:rPr>
          <w:rFonts w:ascii="Verdana" w:hAnsi="Verdana"/>
          <w:sz w:val="20"/>
          <w:szCs w:val="20"/>
        </w:rPr>
        <w:t xml:space="preserve"> around IAG where appropriate and able to do so.</w:t>
      </w:r>
      <w:r w:rsidR="00B52BC3" w:rsidRPr="004F7DF5">
        <w:rPr>
          <w:rFonts w:ascii="Verdana" w:hAnsi="Verdana"/>
          <w:sz w:val="20"/>
          <w:szCs w:val="20"/>
        </w:rPr>
        <w:t xml:space="preserve"> S</w:t>
      </w:r>
      <w:r w:rsidR="00231583" w:rsidRPr="004F7DF5">
        <w:rPr>
          <w:rFonts w:ascii="Verdana" w:hAnsi="Verdana"/>
          <w:sz w:val="20"/>
          <w:szCs w:val="20"/>
        </w:rPr>
        <w:t xml:space="preserve">ome volunteers will have a specific focus around IAG and become and key tool for Key College to deliver effective IAG within centres. </w:t>
      </w:r>
      <w:r w:rsidR="0048285D" w:rsidRPr="004F7DF5">
        <w:rPr>
          <w:rFonts w:ascii="Verdana" w:hAnsi="Verdana"/>
          <w:sz w:val="20"/>
          <w:szCs w:val="20"/>
        </w:rPr>
        <w:t>Support with developing workshops and sessions to support learners with their mental health and wellbeing.</w:t>
      </w:r>
    </w:p>
    <w:p w14:paraId="57C1345D" w14:textId="77777777" w:rsidR="00047230" w:rsidRPr="004F7DF5" w:rsidRDefault="00047230" w:rsidP="00047230">
      <w:pPr>
        <w:pStyle w:val="ListParagraph"/>
        <w:rPr>
          <w:rFonts w:ascii="Verdana" w:hAnsi="Verdana"/>
          <w:sz w:val="20"/>
          <w:szCs w:val="20"/>
        </w:rPr>
      </w:pPr>
    </w:p>
    <w:p w14:paraId="41F8C829" w14:textId="77777777" w:rsidR="00764555" w:rsidRPr="004F7DF5" w:rsidRDefault="00764555" w:rsidP="00047230">
      <w:pPr>
        <w:pStyle w:val="ListParagraph"/>
        <w:rPr>
          <w:rFonts w:ascii="Verdana" w:hAnsi="Verdana"/>
          <w:sz w:val="20"/>
          <w:szCs w:val="20"/>
        </w:rPr>
      </w:pPr>
    </w:p>
    <w:p w14:paraId="73FF5D9C" w14:textId="77777777" w:rsidR="00764555" w:rsidRPr="004F7DF5" w:rsidRDefault="00764555" w:rsidP="00047230">
      <w:pPr>
        <w:pStyle w:val="ListParagraph"/>
        <w:rPr>
          <w:rFonts w:ascii="Verdana" w:hAnsi="Verdana"/>
          <w:sz w:val="20"/>
          <w:szCs w:val="20"/>
        </w:rPr>
      </w:pPr>
    </w:p>
    <w:p w14:paraId="5C2D322A" w14:textId="77777777" w:rsidR="00764555" w:rsidRPr="004F7DF5" w:rsidRDefault="00764555" w:rsidP="00047230">
      <w:pPr>
        <w:pStyle w:val="ListParagraph"/>
        <w:rPr>
          <w:rFonts w:ascii="Verdana" w:hAnsi="Verdana"/>
          <w:sz w:val="20"/>
          <w:szCs w:val="20"/>
        </w:rPr>
      </w:pPr>
    </w:p>
    <w:p w14:paraId="55BDCEAC" w14:textId="77777777" w:rsidR="00764555" w:rsidRPr="004F7DF5" w:rsidRDefault="00764555" w:rsidP="00047230">
      <w:pPr>
        <w:pStyle w:val="ListParagraph"/>
        <w:rPr>
          <w:rFonts w:ascii="Verdana" w:hAnsi="Verdana"/>
          <w:sz w:val="20"/>
          <w:szCs w:val="20"/>
        </w:rPr>
      </w:pPr>
    </w:p>
    <w:p w14:paraId="5BBE6023" w14:textId="77777777" w:rsidR="00764555" w:rsidRPr="004F7DF5" w:rsidRDefault="00764555" w:rsidP="00047230">
      <w:pPr>
        <w:pStyle w:val="ListParagraph"/>
        <w:rPr>
          <w:rFonts w:ascii="Verdana" w:hAnsi="Verdana"/>
          <w:sz w:val="20"/>
          <w:szCs w:val="20"/>
        </w:rPr>
      </w:pPr>
    </w:p>
    <w:p w14:paraId="597B04C5" w14:textId="77777777" w:rsidR="00764555" w:rsidRPr="004F7DF5" w:rsidRDefault="00764555" w:rsidP="00047230">
      <w:pPr>
        <w:pStyle w:val="ListParagraph"/>
        <w:rPr>
          <w:rFonts w:ascii="Verdana" w:hAnsi="Verdana"/>
          <w:sz w:val="20"/>
          <w:szCs w:val="20"/>
        </w:rPr>
      </w:pPr>
    </w:p>
    <w:p w14:paraId="5358CC20" w14:textId="77777777" w:rsidR="00764555" w:rsidRPr="004F7DF5" w:rsidRDefault="00764555" w:rsidP="00047230">
      <w:pPr>
        <w:pStyle w:val="ListParagraph"/>
        <w:rPr>
          <w:rFonts w:ascii="Verdana" w:hAnsi="Verdana"/>
          <w:sz w:val="20"/>
          <w:szCs w:val="20"/>
        </w:rPr>
      </w:pPr>
    </w:p>
    <w:p w14:paraId="42AA4048" w14:textId="77777777" w:rsidR="00764555" w:rsidRPr="004F7DF5" w:rsidRDefault="00764555" w:rsidP="00047230">
      <w:pPr>
        <w:pStyle w:val="ListParagraph"/>
        <w:rPr>
          <w:rFonts w:ascii="Verdana" w:hAnsi="Verdana"/>
          <w:sz w:val="20"/>
          <w:szCs w:val="20"/>
        </w:rPr>
      </w:pPr>
    </w:p>
    <w:p w14:paraId="3DCAC09A" w14:textId="77777777" w:rsidR="00764555" w:rsidRPr="004F7DF5" w:rsidRDefault="00764555" w:rsidP="00047230">
      <w:pPr>
        <w:pStyle w:val="ListParagraph"/>
        <w:rPr>
          <w:rFonts w:ascii="Verdana" w:hAnsi="Verdana"/>
          <w:sz w:val="20"/>
          <w:szCs w:val="20"/>
        </w:rPr>
      </w:pPr>
    </w:p>
    <w:p w14:paraId="40B2C58E" w14:textId="77777777" w:rsidR="00764555" w:rsidRPr="004F7DF5" w:rsidRDefault="00764555" w:rsidP="00047230">
      <w:pPr>
        <w:pStyle w:val="ListParagraph"/>
        <w:rPr>
          <w:rFonts w:ascii="Verdana" w:hAnsi="Verdana"/>
          <w:sz w:val="20"/>
          <w:szCs w:val="20"/>
        </w:rPr>
      </w:pPr>
    </w:p>
    <w:p w14:paraId="47A1AF04" w14:textId="77777777" w:rsidR="00764555" w:rsidRPr="004F7DF5" w:rsidRDefault="00764555" w:rsidP="00047230">
      <w:pPr>
        <w:pStyle w:val="ListParagraph"/>
        <w:rPr>
          <w:rFonts w:ascii="Verdana" w:hAnsi="Verdana"/>
          <w:sz w:val="20"/>
          <w:szCs w:val="20"/>
        </w:rPr>
      </w:pPr>
    </w:p>
    <w:p w14:paraId="1971D118" w14:textId="77777777" w:rsidR="00764555" w:rsidRPr="004F7DF5" w:rsidRDefault="00764555" w:rsidP="00047230">
      <w:pPr>
        <w:pStyle w:val="ListParagraph"/>
        <w:rPr>
          <w:rFonts w:ascii="Verdana" w:hAnsi="Verdana"/>
          <w:sz w:val="20"/>
          <w:szCs w:val="20"/>
        </w:rPr>
      </w:pPr>
    </w:p>
    <w:p w14:paraId="503C136F" w14:textId="77777777" w:rsidR="00764555" w:rsidRPr="004F7DF5" w:rsidRDefault="00764555" w:rsidP="00047230">
      <w:pPr>
        <w:pStyle w:val="ListParagraph"/>
        <w:rPr>
          <w:rFonts w:ascii="Verdana" w:hAnsi="Verdana"/>
          <w:sz w:val="20"/>
          <w:szCs w:val="20"/>
        </w:rPr>
      </w:pPr>
    </w:p>
    <w:p w14:paraId="5B1E1708" w14:textId="77777777" w:rsidR="00764555" w:rsidRPr="004F7DF5" w:rsidRDefault="00764555" w:rsidP="00047230">
      <w:pPr>
        <w:pStyle w:val="ListParagraph"/>
        <w:rPr>
          <w:rFonts w:ascii="Verdana" w:hAnsi="Verdana"/>
          <w:sz w:val="20"/>
          <w:szCs w:val="20"/>
        </w:rPr>
      </w:pPr>
    </w:p>
    <w:p w14:paraId="72E8768D" w14:textId="77777777" w:rsidR="00764555" w:rsidRPr="004F7DF5" w:rsidRDefault="00764555" w:rsidP="00047230">
      <w:pPr>
        <w:pStyle w:val="ListParagraph"/>
        <w:rPr>
          <w:rFonts w:ascii="Verdana" w:hAnsi="Verdana"/>
          <w:sz w:val="20"/>
          <w:szCs w:val="20"/>
        </w:rPr>
      </w:pPr>
    </w:p>
    <w:p w14:paraId="681A5535" w14:textId="77777777" w:rsidR="00764555" w:rsidRPr="004F7DF5" w:rsidRDefault="00764555" w:rsidP="00047230">
      <w:pPr>
        <w:pStyle w:val="ListParagraph"/>
        <w:rPr>
          <w:rFonts w:ascii="Verdana" w:hAnsi="Verdana"/>
          <w:sz w:val="20"/>
          <w:szCs w:val="20"/>
        </w:rPr>
      </w:pPr>
    </w:p>
    <w:p w14:paraId="214A7997" w14:textId="77777777" w:rsidR="00764555" w:rsidRPr="004F7DF5" w:rsidRDefault="00764555" w:rsidP="00047230">
      <w:pPr>
        <w:pStyle w:val="ListParagraph"/>
        <w:rPr>
          <w:rFonts w:ascii="Verdana" w:hAnsi="Verdana"/>
          <w:sz w:val="20"/>
          <w:szCs w:val="20"/>
        </w:rPr>
      </w:pPr>
    </w:p>
    <w:p w14:paraId="1D3D5C25" w14:textId="77777777" w:rsidR="00764555" w:rsidRPr="004F7DF5" w:rsidRDefault="00764555" w:rsidP="00047230">
      <w:pPr>
        <w:pStyle w:val="ListParagraph"/>
        <w:rPr>
          <w:rFonts w:ascii="Verdana" w:hAnsi="Verdana"/>
          <w:sz w:val="20"/>
          <w:szCs w:val="20"/>
        </w:rPr>
      </w:pPr>
    </w:p>
    <w:p w14:paraId="0F3FC6F7" w14:textId="77777777" w:rsidR="00764555" w:rsidRPr="004F7DF5" w:rsidRDefault="00764555" w:rsidP="00047230">
      <w:pPr>
        <w:pStyle w:val="ListParagraph"/>
        <w:rPr>
          <w:rFonts w:ascii="Verdana" w:hAnsi="Verdana"/>
          <w:sz w:val="20"/>
          <w:szCs w:val="20"/>
        </w:rPr>
      </w:pPr>
    </w:p>
    <w:p w14:paraId="25A892C4" w14:textId="77777777" w:rsidR="00764555" w:rsidRPr="004F7DF5" w:rsidRDefault="00764555" w:rsidP="00047230">
      <w:pPr>
        <w:pStyle w:val="ListParagraph"/>
        <w:rPr>
          <w:rFonts w:ascii="Verdana" w:hAnsi="Verdana"/>
          <w:sz w:val="20"/>
          <w:szCs w:val="20"/>
        </w:rPr>
      </w:pPr>
    </w:p>
    <w:p w14:paraId="2B5FAF76" w14:textId="77777777" w:rsidR="00764555" w:rsidRPr="004F7DF5" w:rsidRDefault="00764555" w:rsidP="00047230">
      <w:pPr>
        <w:pStyle w:val="ListParagraph"/>
        <w:rPr>
          <w:rFonts w:ascii="Verdana" w:hAnsi="Verdana"/>
          <w:sz w:val="20"/>
          <w:szCs w:val="20"/>
        </w:rPr>
      </w:pPr>
    </w:p>
    <w:p w14:paraId="3FA62D3B" w14:textId="77777777" w:rsidR="00764555" w:rsidRPr="004F7DF5" w:rsidRDefault="00764555" w:rsidP="00047230">
      <w:pPr>
        <w:pStyle w:val="ListParagraph"/>
        <w:rPr>
          <w:rFonts w:ascii="Verdana" w:hAnsi="Verdana"/>
          <w:sz w:val="20"/>
          <w:szCs w:val="20"/>
        </w:rPr>
      </w:pPr>
    </w:p>
    <w:p w14:paraId="63C62A0F" w14:textId="77777777" w:rsidR="00764555" w:rsidRPr="004F7DF5" w:rsidRDefault="00764555" w:rsidP="00047230">
      <w:pPr>
        <w:pStyle w:val="ListParagraph"/>
        <w:rPr>
          <w:rFonts w:ascii="Verdana" w:hAnsi="Verdana"/>
          <w:sz w:val="20"/>
          <w:szCs w:val="20"/>
        </w:rPr>
      </w:pPr>
    </w:p>
    <w:p w14:paraId="026B2B68" w14:textId="77777777" w:rsidR="00B150E5" w:rsidRPr="004F7DF5" w:rsidRDefault="00B150E5" w:rsidP="00B150E5">
      <w:pPr>
        <w:rPr>
          <w:rFonts w:ascii="Verdana" w:hAnsi="Verdana"/>
          <w:sz w:val="20"/>
          <w:szCs w:val="20"/>
        </w:rPr>
      </w:pPr>
    </w:p>
    <w:p w14:paraId="2CE74D48" w14:textId="68D49920" w:rsidR="00F80B1E" w:rsidRPr="004F7DF5" w:rsidRDefault="00F80B1E" w:rsidP="009C1DB4">
      <w:pPr>
        <w:jc w:val="center"/>
      </w:pPr>
      <w:r w:rsidRPr="004F7DF5">
        <w:rPr>
          <w:rFonts w:ascii="Verdana" w:hAnsi="Verdana"/>
          <w:b/>
          <w:bCs/>
          <w:i/>
          <w:iCs/>
          <w:sz w:val="36"/>
          <w:szCs w:val="36"/>
        </w:rPr>
        <w:t>Learner Journey:</w:t>
      </w:r>
    </w:p>
    <w:p w14:paraId="03A6838F" w14:textId="1CC5C51E" w:rsidR="00F80B1E" w:rsidRPr="004F7DF5" w:rsidRDefault="00F80B1E" w:rsidP="00A54C37">
      <w:pPr>
        <w:jc w:val="center"/>
        <w:rPr>
          <w:rFonts w:ascii="Verdana" w:hAnsi="Verdana"/>
          <w:b/>
          <w:bCs/>
          <w:i/>
          <w:iCs/>
          <w:sz w:val="36"/>
          <w:szCs w:val="36"/>
        </w:rPr>
      </w:pPr>
    </w:p>
    <w:p w14:paraId="4015BA2D" w14:textId="195215D7" w:rsidR="00F80B1E" w:rsidRPr="004F7DF5" w:rsidRDefault="00F80B1E" w:rsidP="00B150E5">
      <w:pPr>
        <w:rPr>
          <w:rFonts w:ascii="Verdana" w:hAnsi="Verdana"/>
          <w:sz w:val="20"/>
          <w:szCs w:val="20"/>
        </w:rPr>
      </w:pPr>
      <w:r w:rsidRPr="004F7DF5">
        <w:rPr>
          <w:rFonts w:ascii="Verdana" w:hAnsi="Verdana"/>
          <w:color w:val="000000" w:themeColor="text1"/>
          <w:sz w:val="20"/>
          <w:szCs w:val="20"/>
        </w:rPr>
        <w:t xml:space="preserve">The </w:t>
      </w:r>
      <w:r w:rsidR="00405B03" w:rsidRPr="004F7DF5">
        <w:rPr>
          <w:rFonts w:ascii="Verdana" w:hAnsi="Verdana"/>
          <w:color w:val="000000" w:themeColor="text1"/>
          <w:sz w:val="20"/>
          <w:szCs w:val="20"/>
        </w:rPr>
        <w:t>infographic below</w:t>
      </w:r>
      <w:r w:rsidRPr="004F7DF5">
        <w:rPr>
          <w:rFonts w:ascii="Verdana" w:hAnsi="Verdana"/>
          <w:color w:val="000000" w:themeColor="text1"/>
          <w:sz w:val="20"/>
          <w:szCs w:val="20"/>
        </w:rPr>
        <w:t xml:space="preserve"> highlights</w:t>
      </w:r>
      <w:r w:rsidR="00405B03" w:rsidRPr="004F7DF5">
        <w:rPr>
          <w:rFonts w:ascii="Verdana" w:hAnsi="Verdana"/>
          <w:color w:val="000000" w:themeColor="text1"/>
          <w:sz w:val="20"/>
          <w:szCs w:val="20"/>
        </w:rPr>
        <w:t>,</w:t>
      </w:r>
      <w:r w:rsidRPr="004F7DF5">
        <w:rPr>
          <w:rFonts w:ascii="Verdana" w:hAnsi="Verdana"/>
          <w:color w:val="000000" w:themeColor="text1"/>
          <w:sz w:val="20"/>
          <w:szCs w:val="20"/>
        </w:rPr>
        <w:t xml:space="preserve"> how IAG is implemented and </w:t>
      </w:r>
      <w:r w:rsidR="00405B03" w:rsidRPr="004F7DF5">
        <w:rPr>
          <w:rFonts w:ascii="Verdana" w:hAnsi="Verdana"/>
          <w:color w:val="000000" w:themeColor="text1"/>
          <w:sz w:val="20"/>
          <w:szCs w:val="20"/>
        </w:rPr>
        <w:t xml:space="preserve">the </w:t>
      </w:r>
      <w:r w:rsidRPr="004F7DF5">
        <w:rPr>
          <w:rFonts w:ascii="Verdana" w:hAnsi="Verdana"/>
          <w:sz w:val="20"/>
          <w:szCs w:val="20"/>
        </w:rPr>
        <w:t>areas where</w:t>
      </w:r>
      <w:r w:rsidR="00A54C37" w:rsidRPr="004F7DF5">
        <w:rPr>
          <w:rFonts w:ascii="Verdana" w:hAnsi="Verdana"/>
          <w:sz w:val="20"/>
          <w:szCs w:val="20"/>
        </w:rPr>
        <w:t xml:space="preserve"> IAG</w:t>
      </w:r>
      <w:r w:rsidRPr="004F7DF5">
        <w:rPr>
          <w:rFonts w:ascii="Verdana" w:hAnsi="Verdana"/>
          <w:sz w:val="20"/>
          <w:szCs w:val="20"/>
        </w:rPr>
        <w:t xml:space="preserve"> impact is measured and assessed. This reflect</w:t>
      </w:r>
      <w:r w:rsidR="00A54C37" w:rsidRPr="004F7DF5">
        <w:rPr>
          <w:rFonts w:ascii="Verdana" w:hAnsi="Verdana"/>
          <w:sz w:val="20"/>
          <w:szCs w:val="20"/>
        </w:rPr>
        <w:t>s</w:t>
      </w:r>
      <w:r w:rsidRPr="004F7DF5">
        <w:rPr>
          <w:rFonts w:ascii="Verdana" w:hAnsi="Verdana"/>
          <w:sz w:val="20"/>
          <w:szCs w:val="20"/>
        </w:rPr>
        <w:t xml:space="preserve"> how IAG runs throughout a </w:t>
      </w:r>
      <w:r w:rsidR="00A54C37" w:rsidRPr="004F7DF5">
        <w:rPr>
          <w:rFonts w:ascii="Verdana" w:hAnsi="Verdana"/>
          <w:sz w:val="20"/>
          <w:szCs w:val="20"/>
        </w:rPr>
        <w:t>learner’s</w:t>
      </w:r>
      <w:r w:rsidRPr="004F7DF5">
        <w:rPr>
          <w:rFonts w:ascii="Verdana" w:hAnsi="Verdana"/>
          <w:sz w:val="20"/>
          <w:szCs w:val="20"/>
        </w:rPr>
        <w:t xml:space="preserve"> programme and how we ensure we develop a learner throughout their time with us</w:t>
      </w:r>
      <w:r w:rsidR="00A54C37" w:rsidRPr="004F7DF5">
        <w:rPr>
          <w:rFonts w:ascii="Verdana" w:hAnsi="Verdana"/>
          <w:sz w:val="20"/>
          <w:szCs w:val="20"/>
        </w:rPr>
        <w:t>:</w:t>
      </w:r>
    </w:p>
    <w:p w14:paraId="7AEBCA67" w14:textId="2B1A9FFF" w:rsidR="00655F93" w:rsidRPr="004F7DF5" w:rsidRDefault="00501413" w:rsidP="00B150E5">
      <w:pPr>
        <w:rPr>
          <w:rFonts w:ascii="Verdana" w:hAnsi="Verdana"/>
          <w:sz w:val="20"/>
          <w:szCs w:val="20"/>
        </w:rPr>
      </w:pPr>
      <w:r w:rsidRPr="004F7DF5">
        <w:rPr>
          <w:rFonts w:ascii="Verdana" w:hAnsi="Verdana"/>
          <w:noProof/>
          <w:sz w:val="20"/>
          <w:szCs w:val="20"/>
          <w14:ligatures w14:val="standardContextual"/>
        </w:rPr>
        <w:drawing>
          <wp:anchor distT="0" distB="0" distL="114300" distR="114300" simplePos="0" relativeHeight="251668480" behindDoc="0" locked="0" layoutInCell="1" allowOverlap="1" wp14:anchorId="25BFB57E" wp14:editId="38EE6238">
            <wp:simplePos x="0" y="0"/>
            <wp:positionH relativeFrom="column">
              <wp:posOffset>-464820</wp:posOffset>
            </wp:positionH>
            <wp:positionV relativeFrom="paragraph">
              <wp:posOffset>202565</wp:posOffset>
            </wp:positionV>
            <wp:extent cx="5585460" cy="6617970"/>
            <wp:effectExtent l="0" t="0" r="0" b="0"/>
            <wp:wrapSquare wrapText="bothSides"/>
            <wp:docPr id="21221378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DC6BDA0" w14:textId="3805D325" w:rsidR="00B150E5" w:rsidRPr="004F7DF5" w:rsidRDefault="00B150E5" w:rsidP="00B150E5">
      <w:pPr>
        <w:rPr>
          <w:rFonts w:ascii="Verdana" w:hAnsi="Verdana"/>
          <w:sz w:val="20"/>
          <w:szCs w:val="20"/>
        </w:rPr>
      </w:pPr>
    </w:p>
    <w:p w14:paraId="63A2BE3F" w14:textId="7F2B73B1" w:rsidR="00B150E5" w:rsidRPr="004F7DF5" w:rsidRDefault="00B150E5" w:rsidP="00B150E5">
      <w:pPr>
        <w:rPr>
          <w:rFonts w:ascii="Verdana" w:hAnsi="Verdana"/>
          <w:sz w:val="20"/>
          <w:szCs w:val="20"/>
        </w:rPr>
      </w:pPr>
    </w:p>
    <w:p w14:paraId="6E8C5CF9" w14:textId="6CBBD7CD" w:rsidR="00B93EB9" w:rsidRDefault="00501413">
      <w:pPr>
        <w:rPr>
          <w:rFonts w:ascii="Verdana" w:hAnsi="Verdana"/>
          <w:sz w:val="20"/>
          <w:szCs w:val="20"/>
        </w:rPr>
      </w:pPr>
      <w:r w:rsidRPr="004F7DF5">
        <w:rPr>
          <w:rFonts w:ascii="Verdana" w:hAnsi="Verdana"/>
          <w:noProof/>
          <w:sz w:val="20"/>
          <w:szCs w:val="20"/>
          <w14:ligatures w14:val="standardContextual"/>
        </w:rPr>
        <mc:AlternateContent>
          <mc:Choice Requires="wps">
            <w:drawing>
              <wp:anchor distT="0" distB="0" distL="114300" distR="114300" simplePos="0" relativeHeight="251659264" behindDoc="0" locked="0" layoutInCell="1" allowOverlap="1" wp14:anchorId="3B2A9EF0" wp14:editId="056DC77D">
                <wp:simplePos x="0" y="0"/>
                <wp:positionH relativeFrom="page">
                  <wp:posOffset>3101340</wp:posOffset>
                </wp:positionH>
                <wp:positionV relativeFrom="paragraph">
                  <wp:posOffset>9525</wp:posOffset>
                </wp:positionV>
                <wp:extent cx="4061460" cy="1226820"/>
                <wp:effectExtent l="0" t="0" r="15240" b="11430"/>
                <wp:wrapNone/>
                <wp:docPr id="1478878736" name="Text Box 2"/>
                <wp:cNvGraphicFramePr/>
                <a:graphic xmlns:a="http://schemas.openxmlformats.org/drawingml/2006/main">
                  <a:graphicData uri="http://schemas.microsoft.com/office/word/2010/wordprocessingShape">
                    <wps:wsp>
                      <wps:cNvSpPr txBox="1"/>
                      <wps:spPr>
                        <a:xfrm>
                          <a:off x="0" y="0"/>
                          <a:ext cx="4061460" cy="1226820"/>
                        </a:xfrm>
                        <a:prstGeom prst="rect">
                          <a:avLst/>
                        </a:prstGeom>
                        <a:noFill/>
                        <a:ln w="6350">
                          <a:solidFill>
                            <a:prstClr val="black"/>
                          </a:solidFill>
                        </a:ln>
                      </wps:spPr>
                      <wps:txbx>
                        <w:txbxContent>
                          <w:p w14:paraId="1CD1833D" w14:textId="6F751E91" w:rsidR="00F80B1E" w:rsidRPr="00F80B1E" w:rsidRDefault="00F80B1E" w:rsidP="00721153">
                            <w:pPr>
                              <w:rPr>
                                <w:sz w:val="22"/>
                                <w:szCs w:val="22"/>
                              </w:rPr>
                            </w:pPr>
                            <w:r w:rsidRPr="00721153">
                              <w:rPr>
                                <w:rFonts w:ascii="Verdana" w:hAnsi="Verdana"/>
                                <w:sz w:val="20"/>
                                <w:szCs w:val="20"/>
                              </w:rPr>
                              <w:t>We will ensure that students are starting a course suitable for their needs and career aspirations. Initial assessments and diagnostic</w:t>
                            </w:r>
                            <w:r w:rsidR="00405B03" w:rsidRPr="00721153">
                              <w:rPr>
                                <w:rFonts w:ascii="Verdana" w:hAnsi="Verdana"/>
                                <w:sz w:val="20"/>
                                <w:szCs w:val="20"/>
                              </w:rPr>
                              <w:t>s</w:t>
                            </w:r>
                            <w:r w:rsidRPr="00721153">
                              <w:rPr>
                                <w:rFonts w:ascii="Verdana" w:hAnsi="Verdana"/>
                                <w:sz w:val="20"/>
                                <w:szCs w:val="20"/>
                              </w:rPr>
                              <w:t xml:space="preserve"> will support in ensuring we recruit learners that are suitable for their chosen programme.  As part of their induction next steps and aspirations will be discussed with SMART targets set to support students with working towards </w:t>
                            </w:r>
                            <w:r w:rsidR="004C6E9C">
                              <w:rPr>
                                <w:rFonts w:ascii="Verdana" w:hAnsi="Verdana"/>
                                <w:sz w:val="20"/>
                                <w:szCs w:val="20"/>
                              </w:rPr>
                              <w:t>their goals and aspirations.</w:t>
                            </w:r>
                            <w:r w:rsidRPr="00721153">
                              <w:rPr>
                                <w:rFonts w:ascii="Verdana" w:hAnsi="Verdan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A9EF0" id="_x0000_t202" coordsize="21600,21600" o:spt="202" path="m,l,21600r21600,l21600,xe">
                <v:stroke joinstyle="miter"/>
                <v:path gradientshapeok="t" o:connecttype="rect"/>
              </v:shapetype>
              <v:shape id="Text Box 2" o:spid="_x0000_s1026" type="#_x0000_t202" style="position:absolute;margin-left:244.2pt;margin-top:.75pt;width:319.8pt;height:9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" filled="f" strokeweight=".5pt">
                <v:textbox>
                  <w:txbxContent>
                    <w:p w14:paraId="1CD1833D" w14:textId="6F751E91" w:rsidR="00F80B1E" w:rsidRPr="00F80B1E" w:rsidRDefault="00F80B1E" w:rsidP="00721153">
                      <w:pPr>
                        <w:rPr>
                          <w:sz w:val="22"/>
                          <w:szCs w:val="22"/>
                        </w:rPr>
                      </w:pPr>
                      <w:r w:rsidRPr="00721153">
                        <w:rPr>
                          <w:rFonts w:ascii="Verdana" w:hAnsi="Verdana"/>
                          <w:sz w:val="20"/>
                          <w:szCs w:val="20"/>
                        </w:rPr>
                        <w:t>We will ensure that students are starting a course suitable for their needs and career aspirations. Initial assessments and diagnostic</w:t>
                      </w:r>
                      <w:r w:rsidR="00405B03" w:rsidRPr="00721153">
                        <w:rPr>
                          <w:rFonts w:ascii="Verdana" w:hAnsi="Verdana"/>
                          <w:sz w:val="20"/>
                          <w:szCs w:val="20"/>
                        </w:rPr>
                        <w:t>s</w:t>
                      </w:r>
                      <w:r w:rsidRPr="00721153">
                        <w:rPr>
                          <w:rFonts w:ascii="Verdana" w:hAnsi="Verdana"/>
                          <w:sz w:val="20"/>
                          <w:szCs w:val="20"/>
                        </w:rPr>
                        <w:t xml:space="preserve"> will support in ensuring we recruit learners that are suitable for their chosen programme.  As part of their induction next steps and aspirations will be discussed with SMART targets set to support students with working towards </w:t>
                      </w:r>
                      <w:r w:rsidR="004C6E9C">
                        <w:rPr>
                          <w:rFonts w:ascii="Verdana" w:hAnsi="Verdana"/>
                          <w:sz w:val="20"/>
                          <w:szCs w:val="20"/>
                        </w:rPr>
                        <w:t>their goals and aspirations.</w:t>
                      </w:r>
                      <w:r w:rsidRPr="00721153">
                        <w:rPr>
                          <w:rFonts w:ascii="Verdana" w:hAnsi="Verdana"/>
                          <w:sz w:val="20"/>
                          <w:szCs w:val="20"/>
                        </w:rPr>
                        <w:t xml:space="preserve"> </w:t>
                      </w:r>
                    </w:p>
                  </w:txbxContent>
                </v:textbox>
                <w10:wrap anchorx="page"/>
              </v:shape>
            </w:pict>
          </mc:Fallback>
        </mc:AlternateContent>
      </w:r>
    </w:p>
    <w:p w14:paraId="168E7E14" w14:textId="57E58955" w:rsidR="00B93EB9" w:rsidRPr="00B93EB9" w:rsidRDefault="00DA7F73">
      <w:pPr>
        <w:rPr>
          <w:rFonts w:ascii="Verdana" w:hAnsi="Verdana"/>
          <w:sz w:val="20"/>
          <w:szCs w:val="20"/>
        </w:rPr>
      </w:pPr>
      <w:r>
        <w:rPr>
          <w:rFonts w:ascii="Verdana" w:hAnsi="Verdana"/>
          <w:noProof/>
          <w:sz w:val="20"/>
          <w:szCs w:val="20"/>
          <w14:ligatures w14:val="standardContextual"/>
        </w:rPr>
        <mc:AlternateContent>
          <mc:Choice Requires="wps">
            <w:drawing>
              <wp:anchor distT="0" distB="0" distL="114300" distR="114300" simplePos="0" relativeHeight="251665408" behindDoc="0" locked="0" layoutInCell="1" allowOverlap="1" wp14:anchorId="22DAD3B6" wp14:editId="104644CB">
                <wp:simplePos x="0" y="0"/>
                <wp:positionH relativeFrom="page">
                  <wp:posOffset>3108960</wp:posOffset>
                </wp:positionH>
                <wp:positionV relativeFrom="paragraph">
                  <wp:posOffset>3587115</wp:posOffset>
                </wp:positionV>
                <wp:extent cx="4061460" cy="1386840"/>
                <wp:effectExtent l="0" t="0" r="15240" b="22860"/>
                <wp:wrapNone/>
                <wp:docPr id="1879206947" name="Text Box 2"/>
                <wp:cNvGraphicFramePr/>
                <a:graphic xmlns:a="http://schemas.openxmlformats.org/drawingml/2006/main">
                  <a:graphicData uri="http://schemas.microsoft.com/office/word/2010/wordprocessingShape">
                    <wps:wsp>
                      <wps:cNvSpPr txBox="1"/>
                      <wps:spPr>
                        <a:xfrm>
                          <a:off x="0" y="0"/>
                          <a:ext cx="4061460" cy="1386840"/>
                        </a:xfrm>
                        <a:prstGeom prst="rect">
                          <a:avLst/>
                        </a:prstGeom>
                        <a:noFill/>
                        <a:ln w="6350">
                          <a:solidFill>
                            <a:prstClr val="black"/>
                          </a:solidFill>
                        </a:ln>
                      </wps:spPr>
                      <wps:txbx>
                        <w:txbxContent>
                          <w:p w14:paraId="0941A32C" w14:textId="5B280E2E" w:rsidR="00925BED" w:rsidRPr="006F75D6" w:rsidRDefault="00925BED" w:rsidP="00721153">
                            <w:pPr>
                              <w:rPr>
                                <w:rFonts w:ascii="Verdana" w:hAnsi="Verdana"/>
                                <w:sz w:val="20"/>
                                <w:szCs w:val="20"/>
                              </w:rPr>
                            </w:pPr>
                            <w:r w:rsidRPr="006F75D6">
                              <w:rPr>
                                <w:rFonts w:ascii="Verdana" w:hAnsi="Verdana"/>
                                <w:sz w:val="20"/>
                                <w:szCs w:val="20"/>
                              </w:rPr>
                              <w:t>Staff will support students with their next steps through learner reviews and the 28 weeks next steps review. Staff will signpost learners onto other training provider</w:t>
                            </w:r>
                            <w:r w:rsidR="00501413" w:rsidRPr="006F75D6">
                              <w:rPr>
                                <w:rFonts w:ascii="Verdana" w:hAnsi="Verdana"/>
                                <w:sz w:val="20"/>
                                <w:szCs w:val="20"/>
                              </w:rPr>
                              <w:t>s</w:t>
                            </w:r>
                            <w:r w:rsidRPr="006F75D6">
                              <w:rPr>
                                <w:rFonts w:ascii="Verdana" w:hAnsi="Verdana"/>
                                <w:sz w:val="20"/>
                                <w:szCs w:val="20"/>
                              </w:rPr>
                              <w:t xml:space="preserve"> or employers and will complete learner exit reviews and learner leaver forms identifying destinations clearly. </w:t>
                            </w:r>
                            <w:r w:rsidR="00501413" w:rsidRPr="006F75D6">
                              <w:rPr>
                                <w:rFonts w:ascii="Verdana" w:hAnsi="Verdana"/>
                                <w:sz w:val="20"/>
                                <w:szCs w:val="20"/>
                              </w:rPr>
                              <w:t xml:space="preserve">Tutors will support with applications to next steps. </w:t>
                            </w:r>
                            <w:r w:rsidR="00DA7F73" w:rsidRPr="004F7DF5">
                              <w:rPr>
                                <w:rFonts w:ascii="Verdana" w:hAnsi="Verdana"/>
                                <w:sz w:val="20"/>
                                <w:szCs w:val="20"/>
                              </w:rPr>
                              <w:t>Potential progression routes within Key College for learners to study a higher level.</w:t>
                            </w:r>
                            <w:r w:rsidR="00DA7F73">
                              <w:rPr>
                                <w:rFonts w:ascii="Verdana" w:hAnsi="Verdan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D3B6" id="_x0000_s1027" type="#_x0000_t202" style="position:absolute;margin-left:244.8pt;margin-top:282.45pt;width:319.8pt;height:109.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" filled="f" strokeweight=".5pt">
                <v:textbox>
                  <w:txbxContent>
                    <w:p w14:paraId="0941A32C" w14:textId="5B280E2E" w:rsidR="00925BED" w:rsidRPr="006F75D6" w:rsidRDefault="00925BED" w:rsidP="00721153">
                      <w:pPr>
                        <w:rPr>
                          <w:rFonts w:ascii="Verdana" w:hAnsi="Verdana"/>
                          <w:sz w:val="20"/>
                          <w:szCs w:val="20"/>
                        </w:rPr>
                      </w:pPr>
                      <w:r w:rsidRPr="006F75D6">
                        <w:rPr>
                          <w:rFonts w:ascii="Verdana" w:hAnsi="Verdana"/>
                          <w:sz w:val="20"/>
                          <w:szCs w:val="20"/>
                        </w:rPr>
                        <w:t>Staff will support students with their next steps through learner reviews and the 28 weeks next steps review. Staff will signpost learners onto other training provider</w:t>
                      </w:r>
                      <w:r w:rsidR="00501413" w:rsidRPr="006F75D6">
                        <w:rPr>
                          <w:rFonts w:ascii="Verdana" w:hAnsi="Verdana"/>
                          <w:sz w:val="20"/>
                          <w:szCs w:val="20"/>
                        </w:rPr>
                        <w:t>s</w:t>
                      </w:r>
                      <w:r w:rsidRPr="006F75D6">
                        <w:rPr>
                          <w:rFonts w:ascii="Verdana" w:hAnsi="Verdana"/>
                          <w:sz w:val="20"/>
                          <w:szCs w:val="20"/>
                        </w:rPr>
                        <w:t xml:space="preserve"> or employers and will complete learner exit reviews and learner leaver forms identifying destinations clearly. </w:t>
                      </w:r>
                      <w:r w:rsidR="00501413" w:rsidRPr="006F75D6">
                        <w:rPr>
                          <w:rFonts w:ascii="Verdana" w:hAnsi="Verdana"/>
                          <w:sz w:val="20"/>
                          <w:szCs w:val="20"/>
                        </w:rPr>
                        <w:t xml:space="preserve">Tutors will support with applications to next steps. </w:t>
                      </w:r>
                      <w:r w:rsidR="00DA7F73" w:rsidRPr="004F7DF5">
                        <w:rPr>
                          <w:rFonts w:ascii="Verdana" w:hAnsi="Verdana"/>
                          <w:sz w:val="20"/>
                          <w:szCs w:val="20"/>
                        </w:rPr>
                        <w:t>Potential progression routes within Key College for learners to study a higher level.</w:t>
                      </w:r>
                      <w:r w:rsidR="00DA7F73">
                        <w:rPr>
                          <w:rFonts w:ascii="Verdana" w:hAnsi="Verdana"/>
                          <w:sz w:val="20"/>
                          <w:szCs w:val="20"/>
                        </w:rPr>
                        <w:t xml:space="preserve"> </w:t>
                      </w:r>
                    </w:p>
                  </w:txbxContent>
                </v:textbox>
                <w10:wrap anchorx="page"/>
              </v:shape>
            </w:pict>
          </mc:Fallback>
        </mc:AlternateContent>
      </w:r>
      <w:r>
        <w:rPr>
          <w:rFonts w:ascii="Verdana" w:hAnsi="Verdana"/>
          <w:noProof/>
          <w:sz w:val="20"/>
          <w:szCs w:val="20"/>
          <w14:ligatures w14:val="standardContextual"/>
        </w:rPr>
        <mc:AlternateContent>
          <mc:Choice Requires="wps">
            <w:drawing>
              <wp:anchor distT="0" distB="0" distL="114300" distR="114300" simplePos="0" relativeHeight="251667456" behindDoc="0" locked="0" layoutInCell="1" allowOverlap="1" wp14:anchorId="43FF07AE" wp14:editId="6A14BBD4">
                <wp:simplePos x="0" y="0"/>
                <wp:positionH relativeFrom="page">
                  <wp:posOffset>3101340</wp:posOffset>
                </wp:positionH>
                <wp:positionV relativeFrom="paragraph">
                  <wp:posOffset>5004435</wp:posOffset>
                </wp:positionV>
                <wp:extent cx="4048125" cy="929640"/>
                <wp:effectExtent l="0" t="0" r="28575" b="22860"/>
                <wp:wrapNone/>
                <wp:docPr id="1987973749" name="Text Box 2"/>
                <wp:cNvGraphicFramePr/>
                <a:graphic xmlns:a="http://schemas.openxmlformats.org/drawingml/2006/main">
                  <a:graphicData uri="http://schemas.microsoft.com/office/word/2010/wordprocessingShape">
                    <wps:wsp>
                      <wps:cNvSpPr txBox="1"/>
                      <wps:spPr>
                        <a:xfrm>
                          <a:off x="0" y="0"/>
                          <a:ext cx="4048125" cy="929640"/>
                        </a:xfrm>
                        <a:prstGeom prst="rect">
                          <a:avLst/>
                        </a:prstGeom>
                        <a:noFill/>
                        <a:ln w="6350">
                          <a:solidFill>
                            <a:prstClr val="black"/>
                          </a:solidFill>
                        </a:ln>
                      </wps:spPr>
                      <wps:txbx>
                        <w:txbxContent>
                          <w:p w14:paraId="7B11B239" w14:textId="78772B1B" w:rsidR="00501413" w:rsidRDefault="00501413" w:rsidP="00721153">
                            <w:pPr>
                              <w:rPr>
                                <w:rFonts w:ascii="Verdana" w:hAnsi="Verdana"/>
                                <w:sz w:val="22"/>
                                <w:szCs w:val="22"/>
                              </w:rPr>
                            </w:pPr>
                            <w:r w:rsidRPr="00721153">
                              <w:rPr>
                                <w:rFonts w:ascii="Verdana" w:hAnsi="Verdana"/>
                                <w:sz w:val="20"/>
                                <w:szCs w:val="20"/>
                              </w:rPr>
                              <w:t xml:space="preserve">Learners who complete the programme will be contacted and monitored following the completion of their programme to ensure that they have progressed into positive </w:t>
                            </w:r>
                            <w:r w:rsidRPr="004F7DF5">
                              <w:rPr>
                                <w:rFonts w:ascii="Verdana" w:hAnsi="Verdana"/>
                                <w:sz w:val="20"/>
                                <w:szCs w:val="20"/>
                              </w:rPr>
                              <w:t>outcomes</w:t>
                            </w:r>
                            <w:r w:rsidR="00BE4B7A" w:rsidRPr="004F7DF5">
                              <w:rPr>
                                <w:rFonts w:ascii="Verdana" w:hAnsi="Verdana"/>
                                <w:sz w:val="20"/>
                                <w:szCs w:val="20"/>
                              </w:rPr>
                              <w:t>, for 12 months following the completion of their programme.</w:t>
                            </w:r>
                            <w:r w:rsidRPr="00721153">
                              <w:rPr>
                                <w:rFonts w:ascii="Verdana" w:hAnsi="Verdan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F07AE" id="_x0000_s1028" type="#_x0000_t202" style="position:absolute;margin-left:244.2pt;margin-top:394.05pt;width:318.75pt;height:7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" filled="f" strokeweight=".5pt">
                <v:textbox>
                  <w:txbxContent>
                    <w:p w14:paraId="7B11B239" w14:textId="78772B1B" w:rsidR="00501413" w:rsidRDefault="00501413" w:rsidP="00721153">
                      <w:pPr>
                        <w:rPr>
                          <w:rFonts w:ascii="Verdana" w:hAnsi="Verdana"/>
                          <w:sz w:val="22"/>
                          <w:szCs w:val="22"/>
                        </w:rPr>
                      </w:pPr>
                      <w:r w:rsidRPr="00721153">
                        <w:rPr>
                          <w:rFonts w:ascii="Verdana" w:hAnsi="Verdana"/>
                          <w:sz w:val="20"/>
                          <w:szCs w:val="20"/>
                        </w:rPr>
                        <w:t xml:space="preserve">Learners who complete the programme will be contacted and monitored following the completion of their programme to ensure that they have progressed into positive </w:t>
                      </w:r>
                      <w:r w:rsidRPr="004F7DF5">
                        <w:rPr>
                          <w:rFonts w:ascii="Verdana" w:hAnsi="Verdana"/>
                          <w:sz w:val="20"/>
                          <w:szCs w:val="20"/>
                        </w:rPr>
                        <w:t>outcomes</w:t>
                      </w:r>
                      <w:r w:rsidR="00BE4B7A" w:rsidRPr="004F7DF5">
                        <w:rPr>
                          <w:rFonts w:ascii="Verdana" w:hAnsi="Verdana"/>
                          <w:sz w:val="20"/>
                          <w:szCs w:val="20"/>
                        </w:rPr>
                        <w:t>, for 12 months following the completion of their programme.</w:t>
                      </w:r>
                      <w:r w:rsidRPr="00721153">
                        <w:rPr>
                          <w:rFonts w:ascii="Verdana" w:hAnsi="Verdana"/>
                          <w:sz w:val="20"/>
                          <w:szCs w:val="20"/>
                        </w:rPr>
                        <w:t xml:space="preserve"> </w:t>
                      </w:r>
                    </w:p>
                  </w:txbxContent>
                </v:textbox>
                <w10:wrap anchorx="page"/>
              </v:shape>
            </w:pict>
          </mc:Fallback>
        </mc:AlternateContent>
      </w:r>
      <w:r w:rsidR="00E47828">
        <w:rPr>
          <w:rFonts w:ascii="Verdana" w:hAnsi="Verdana"/>
          <w:noProof/>
          <w:sz w:val="20"/>
          <w:szCs w:val="20"/>
          <w14:ligatures w14:val="standardContextual"/>
        </w:rPr>
        <mc:AlternateContent>
          <mc:Choice Requires="wps">
            <w:drawing>
              <wp:anchor distT="0" distB="0" distL="114300" distR="114300" simplePos="0" relativeHeight="251663360" behindDoc="0" locked="0" layoutInCell="1" allowOverlap="1" wp14:anchorId="58F63A0A" wp14:editId="2417DE1D">
                <wp:simplePos x="0" y="0"/>
                <wp:positionH relativeFrom="page">
                  <wp:posOffset>3108960</wp:posOffset>
                </wp:positionH>
                <wp:positionV relativeFrom="paragraph">
                  <wp:posOffset>2634615</wp:posOffset>
                </wp:positionV>
                <wp:extent cx="4080510" cy="929640"/>
                <wp:effectExtent l="0" t="0" r="15240" b="22860"/>
                <wp:wrapNone/>
                <wp:docPr id="2015245528" name="Text Box 2"/>
                <wp:cNvGraphicFramePr/>
                <a:graphic xmlns:a="http://schemas.openxmlformats.org/drawingml/2006/main">
                  <a:graphicData uri="http://schemas.microsoft.com/office/word/2010/wordprocessingShape">
                    <wps:wsp>
                      <wps:cNvSpPr txBox="1"/>
                      <wps:spPr>
                        <a:xfrm>
                          <a:off x="0" y="0"/>
                          <a:ext cx="4080510" cy="929640"/>
                        </a:xfrm>
                        <a:prstGeom prst="rect">
                          <a:avLst/>
                        </a:prstGeom>
                        <a:noFill/>
                        <a:ln w="6350">
                          <a:solidFill>
                            <a:prstClr val="black"/>
                          </a:solidFill>
                        </a:ln>
                      </wps:spPr>
                      <wps:txbx>
                        <w:txbxContent>
                          <w:p w14:paraId="28A7EDE4" w14:textId="253EF206" w:rsidR="00925BED" w:rsidRPr="00F80B1E" w:rsidRDefault="00925BED" w:rsidP="00721153">
                            <w:pPr>
                              <w:rPr>
                                <w:sz w:val="22"/>
                                <w:szCs w:val="22"/>
                              </w:rPr>
                            </w:pPr>
                            <w:r w:rsidRPr="00721153">
                              <w:rPr>
                                <w:rFonts w:ascii="Verdana" w:hAnsi="Verdana"/>
                                <w:sz w:val="20"/>
                                <w:szCs w:val="20"/>
                              </w:rPr>
                              <w:t xml:space="preserve">Learner progress around IAG will be continuously reviewed through one to ones, student forums, student handbook, student surveys, soft skills, parental surveys, SPOC </w:t>
                            </w:r>
                            <w:r w:rsidRPr="004F7DF5">
                              <w:rPr>
                                <w:rFonts w:ascii="Verdana" w:hAnsi="Verdana"/>
                                <w:sz w:val="20"/>
                                <w:szCs w:val="20"/>
                              </w:rPr>
                              <w:t>analysis, learner progression and destination data</w:t>
                            </w:r>
                            <w:r w:rsidR="00E47828" w:rsidRPr="004F7DF5">
                              <w:rPr>
                                <w:rFonts w:ascii="Verdana" w:hAnsi="Verdana"/>
                                <w:sz w:val="20"/>
                                <w:szCs w:val="20"/>
                              </w:rPr>
                              <w:t>, learners feedback forms.</w:t>
                            </w:r>
                            <w:r w:rsidR="00E47828">
                              <w:rPr>
                                <w:rFonts w:ascii="Verdana" w:hAnsi="Verdan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63A0A" id="_x0000_s1029" type="#_x0000_t202" style="position:absolute;margin-left:244.8pt;margin-top:207.45pt;width:321.3pt;height:7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" filled="f" strokeweight=".5pt">
                <v:textbox>
                  <w:txbxContent>
                    <w:p w14:paraId="28A7EDE4" w14:textId="253EF206" w:rsidR="00925BED" w:rsidRPr="00F80B1E" w:rsidRDefault="00925BED" w:rsidP="00721153">
                      <w:pPr>
                        <w:rPr>
                          <w:sz w:val="22"/>
                          <w:szCs w:val="22"/>
                        </w:rPr>
                      </w:pPr>
                      <w:r w:rsidRPr="00721153">
                        <w:rPr>
                          <w:rFonts w:ascii="Verdana" w:hAnsi="Verdana"/>
                          <w:sz w:val="20"/>
                          <w:szCs w:val="20"/>
                        </w:rPr>
                        <w:t xml:space="preserve">Learner progress around IAG will be continuously reviewed through one to ones, student forums, student handbook, student surveys, soft skills, parental surveys, SPOC </w:t>
                      </w:r>
                      <w:r w:rsidRPr="004F7DF5">
                        <w:rPr>
                          <w:rFonts w:ascii="Verdana" w:hAnsi="Verdana"/>
                          <w:sz w:val="20"/>
                          <w:szCs w:val="20"/>
                        </w:rPr>
                        <w:t>analysis, learner progression and destination data</w:t>
                      </w:r>
                      <w:r w:rsidR="00E47828" w:rsidRPr="004F7DF5">
                        <w:rPr>
                          <w:rFonts w:ascii="Verdana" w:hAnsi="Verdana"/>
                          <w:sz w:val="20"/>
                          <w:szCs w:val="20"/>
                        </w:rPr>
                        <w:t>, learners feedback forms.</w:t>
                      </w:r>
                      <w:r w:rsidR="00E47828">
                        <w:rPr>
                          <w:rFonts w:ascii="Verdana" w:hAnsi="Verdana"/>
                          <w:sz w:val="20"/>
                          <w:szCs w:val="20"/>
                        </w:rPr>
                        <w:t xml:space="preserve"> </w:t>
                      </w:r>
                    </w:p>
                  </w:txbxContent>
                </v:textbox>
                <w10:wrap anchorx="page"/>
              </v:shape>
            </w:pict>
          </mc:Fallback>
        </mc:AlternateContent>
      </w:r>
      <w:r w:rsidR="003A06CE">
        <w:rPr>
          <w:rFonts w:ascii="Verdana" w:hAnsi="Verdana"/>
          <w:noProof/>
          <w:sz w:val="20"/>
          <w:szCs w:val="20"/>
          <w14:ligatures w14:val="standardContextual"/>
        </w:rPr>
        <mc:AlternateContent>
          <mc:Choice Requires="wps">
            <w:drawing>
              <wp:anchor distT="0" distB="0" distL="114300" distR="114300" simplePos="0" relativeHeight="251661312" behindDoc="0" locked="0" layoutInCell="1" allowOverlap="1" wp14:anchorId="3048EF7F" wp14:editId="64337CC7">
                <wp:simplePos x="0" y="0"/>
                <wp:positionH relativeFrom="page">
                  <wp:posOffset>3108960</wp:posOffset>
                </wp:positionH>
                <wp:positionV relativeFrom="paragraph">
                  <wp:posOffset>1141095</wp:posOffset>
                </wp:positionV>
                <wp:extent cx="4061460" cy="1478280"/>
                <wp:effectExtent l="0" t="0" r="15240" b="26670"/>
                <wp:wrapNone/>
                <wp:docPr id="970903564" name="Text Box 2"/>
                <wp:cNvGraphicFramePr/>
                <a:graphic xmlns:a="http://schemas.openxmlformats.org/drawingml/2006/main">
                  <a:graphicData uri="http://schemas.microsoft.com/office/word/2010/wordprocessingShape">
                    <wps:wsp>
                      <wps:cNvSpPr txBox="1"/>
                      <wps:spPr>
                        <a:xfrm>
                          <a:off x="0" y="0"/>
                          <a:ext cx="4061460" cy="1478280"/>
                        </a:xfrm>
                        <a:prstGeom prst="rect">
                          <a:avLst/>
                        </a:prstGeom>
                        <a:noFill/>
                        <a:ln w="6350">
                          <a:solidFill>
                            <a:prstClr val="black"/>
                          </a:solidFill>
                        </a:ln>
                      </wps:spPr>
                      <wps:txbx>
                        <w:txbxContent>
                          <w:p w14:paraId="08143AD2" w14:textId="5F3BD17E" w:rsidR="00925BED" w:rsidRPr="003A06CE" w:rsidRDefault="00925BED" w:rsidP="00721153">
                            <w:pPr>
                              <w:rPr>
                                <w:rFonts w:ascii="Verdana" w:hAnsi="Verdana"/>
                                <w:color w:val="000000" w:themeColor="text1"/>
                                <w:sz w:val="18"/>
                                <w:szCs w:val="18"/>
                              </w:rPr>
                            </w:pPr>
                            <w:r w:rsidRPr="003A06CE">
                              <w:rPr>
                                <w:rFonts w:ascii="Verdana" w:hAnsi="Verdana"/>
                                <w:sz w:val="18"/>
                                <w:szCs w:val="18"/>
                              </w:rPr>
                              <w:t xml:space="preserve">Centre displays, embedded IAG resources and enrichment within schemes of work and sessions, external </w:t>
                            </w:r>
                            <w:r w:rsidR="00501413" w:rsidRPr="003A06CE">
                              <w:rPr>
                                <w:rFonts w:ascii="Verdana" w:hAnsi="Verdana"/>
                                <w:sz w:val="18"/>
                                <w:szCs w:val="18"/>
                              </w:rPr>
                              <w:t>trips</w:t>
                            </w:r>
                            <w:r w:rsidRPr="003A06CE">
                              <w:rPr>
                                <w:rFonts w:ascii="Verdana" w:hAnsi="Verdana"/>
                                <w:sz w:val="18"/>
                                <w:szCs w:val="18"/>
                              </w:rPr>
                              <w:t xml:space="preserve"> and speakers, interview techniques, CV workshops, work </w:t>
                            </w:r>
                            <w:r w:rsidRPr="003A06CE">
                              <w:rPr>
                                <w:rFonts w:ascii="Verdana" w:hAnsi="Verdana"/>
                                <w:color w:val="000000" w:themeColor="text1"/>
                                <w:sz w:val="18"/>
                                <w:szCs w:val="18"/>
                              </w:rPr>
                              <w:t xml:space="preserve">experience opportunities, real working environments for learning, employer engagement, employer curriculum development meetings, </w:t>
                            </w:r>
                            <w:r w:rsidR="00501705" w:rsidRPr="003A06CE">
                              <w:rPr>
                                <w:rFonts w:ascii="Verdana" w:hAnsi="Verdana"/>
                                <w:color w:val="000000" w:themeColor="text1"/>
                                <w:sz w:val="18"/>
                                <w:szCs w:val="18"/>
                              </w:rPr>
                              <w:t xml:space="preserve">metal health and sexual health talks, work placements and </w:t>
                            </w:r>
                            <w:r w:rsidR="00501705" w:rsidRPr="004F7DF5">
                              <w:rPr>
                                <w:rFonts w:ascii="Verdana" w:hAnsi="Verdana"/>
                                <w:color w:val="000000" w:themeColor="text1"/>
                                <w:sz w:val="18"/>
                                <w:szCs w:val="18"/>
                              </w:rPr>
                              <w:t>volunteers with a focus on mental health and wellbeing</w:t>
                            </w:r>
                            <w:r w:rsidR="003A06CE" w:rsidRPr="004F7DF5">
                              <w:rPr>
                                <w:rFonts w:ascii="Verdana" w:hAnsi="Verdana"/>
                                <w:color w:val="000000" w:themeColor="text1"/>
                                <w:sz w:val="18"/>
                                <w:szCs w:val="18"/>
                              </w:rPr>
                              <w:t>, partnerships with the provider networks, local authority, NHS and national careers service. Dedicated careers co-ordinator support learners across all centres.</w:t>
                            </w:r>
                            <w:r w:rsidR="003A06CE" w:rsidRPr="003A06CE">
                              <w:rPr>
                                <w:rFonts w:ascii="Verdana" w:hAnsi="Verdana"/>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EF7F" id="_x0000_s1030" type="#_x0000_t202" style="position:absolute;margin-left:244.8pt;margin-top:89.85pt;width:319.8pt;height:11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" filled="f" strokeweight=".5pt">
                <v:textbox>
                  <w:txbxContent>
                    <w:p w14:paraId="08143AD2" w14:textId="5F3BD17E" w:rsidR="00925BED" w:rsidRPr="003A06CE" w:rsidRDefault="00925BED" w:rsidP="00721153">
                      <w:pPr>
                        <w:rPr>
                          <w:rFonts w:ascii="Verdana" w:hAnsi="Verdana"/>
                          <w:color w:val="000000" w:themeColor="text1"/>
                          <w:sz w:val="18"/>
                          <w:szCs w:val="18"/>
                        </w:rPr>
                      </w:pPr>
                      <w:r w:rsidRPr="003A06CE">
                        <w:rPr>
                          <w:rFonts w:ascii="Verdana" w:hAnsi="Verdana"/>
                          <w:sz w:val="18"/>
                          <w:szCs w:val="18"/>
                        </w:rPr>
                        <w:t xml:space="preserve">Centre displays, embedded IAG resources and enrichment within schemes of work and sessions, external </w:t>
                      </w:r>
                      <w:r w:rsidR="00501413" w:rsidRPr="003A06CE">
                        <w:rPr>
                          <w:rFonts w:ascii="Verdana" w:hAnsi="Verdana"/>
                          <w:sz w:val="18"/>
                          <w:szCs w:val="18"/>
                        </w:rPr>
                        <w:t>trips</w:t>
                      </w:r>
                      <w:r w:rsidRPr="003A06CE">
                        <w:rPr>
                          <w:rFonts w:ascii="Verdana" w:hAnsi="Verdana"/>
                          <w:sz w:val="18"/>
                          <w:szCs w:val="18"/>
                        </w:rPr>
                        <w:t xml:space="preserve"> and speakers, interview techniques, CV workshops, work </w:t>
                      </w:r>
                      <w:r w:rsidRPr="003A06CE">
                        <w:rPr>
                          <w:rFonts w:ascii="Verdana" w:hAnsi="Verdana"/>
                          <w:color w:val="000000" w:themeColor="text1"/>
                          <w:sz w:val="18"/>
                          <w:szCs w:val="18"/>
                        </w:rPr>
                        <w:t xml:space="preserve">experience opportunities, real working environments for learning, employer engagement, employer curriculum development meetings, </w:t>
                      </w:r>
                      <w:r w:rsidR="00501705" w:rsidRPr="003A06CE">
                        <w:rPr>
                          <w:rFonts w:ascii="Verdana" w:hAnsi="Verdana"/>
                          <w:color w:val="000000" w:themeColor="text1"/>
                          <w:sz w:val="18"/>
                          <w:szCs w:val="18"/>
                        </w:rPr>
                        <w:t xml:space="preserve">metal health and sexual health talks, work placements and </w:t>
                      </w:r>
                      <w:r w:rsidR="00501705" w:rsidRPr="004F7DF5">
                        <w:rPr>
                          <w:rFonts w:ascii="Verdana" w:hAnsi="Verdana"/>
                          <w:color w:val="000000" w:themeColor="text1"/>
                          <w:sz w:val="18"/>
                          <w:szCs w:val="18"/>
                        </w:rPr>
                        <w:t>volunteers with a focus on mental health and wellbeing</w:t>
                      </w:r>
                      <w:r w:rsidR="003A06CE" w:rsidRPr="004F7DF5">
                        <w:rPr>
                          <w:rFonts w:ascii="Verdana" w:hAnsi="Verdana"/>
                          <w:color w:val="000000" w:themeColor="text1"/>
                          <w:sz w:val="18"/>
                          <w:szCs w:val="18"/>
                        </w:rPr>
                        <w:t>, partnerships with the provider networks, local authority, NHS and national careers service. Dedicated careers co-ordinator support learners across all centres.</w:t>
                      </w:r>
                      <w:r w:rsidR="003A06CE" w:rsidRPr="003A06CE">
                        <w:rPr>
                          <w:rFonts w:ascii="Verdana" w:hAnsi="Verdana"/>
                          <w:color w:val="000000" w:themeColor="text1"/>
                          <w:sz w:val="18"/>
                          <w:szCs w:val="18"/>
                        </w:rPr>
                        <w:t xml:space="preserve"> </w:t>
                      </w:r>
                    </w:p>
                  </w:txbxContent>
                </v:textbox>
                <w10:wrap anchorx="page"/>
              </v:shape>
            </w:pict>
          </mc:Fallback>
        </mc:AlternateContent>
      </w:r>
    </w:p>
    <w:sectPr w:rsidR="00B93EB9" w:rsidRPr="00B93EB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B39F" w14:textId="77777777" w:rsidR="0081257B" w:rsidRDefault="0081257B" w:rsidP="00B93EB9">
      <w:r>
        <w:separator/>
      </w:r>
    </w:p>
  </w:endnote>
  <w:endnote w:type="continuationSeparator" w:id="0">
    <w:p w14:paraId="42839F8C" w14:textId="77777777" w:rsidR="0081257B" w:rsidRDefault="0081257B" w:rsidP="00B9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92569A" w14:paraId="5E2F0869" w14:textId="77777777" w:rsidTr="7F92569A">
      <w:trPr>
        <w:trHeight w:val="300"/>
      </w:trPr>
      <w:tc>
        <w:tcPr>
          <w:tcW w:w="3005" w:type="dxa"/>
        </w:tcPr>
        <w:p w14:paraId="2A7C0C64" w14:textId="56DF3545" w:rsidR="7F92569A" w:rsidRDefault="7F92569A" w:rsidP="7F92569A">
          <w:pPr>
            <w:pStyle w:val="Header"/>
            <w:ind w:left="-115"/>
          </w:pPr>
        </w:p>
      </w:tc>
      <w:tc>
        <w:tcPr>
          <w:tcW w:w="3005" w:type="dxa"/>
        </w:tcPr>
        <w:p w14:paraId="2CA77EB7" w14:textId="21E3C25A" w:rsidR="7F92569A" w:rsidRDefault="7F92569A" w:rsidP="7F92569A">
          <w:pPr>
            <w:pStyle w:val="Header"/>
            <w:jc w:val="center"/>
          </w:pPr>
        </w:p>
      </w:tc>
      <w:tc>
        <w:tcPr>
          <w:tcW w:w="3005" w:type="dxa"/>
        </w:tcPr>
        <w:p w14:paraId="6B4C6AB4" w14:textId="03033BF2" w:rsidR="7F92569A" w:rsidRDefault="7F92569A" w:rsidP="7F92569A">
          <w:pPr>
            <w:pStyle w:val="Header"/>
            <w:ind w:right="-115"/>
            <w:jc w:val="right"/>
          </w:pPr>
        </w:p>
      </w:tc>
    </w:tr>
  </w:tbl>
  <w:p w14:paraId="2A444FD4" w14:textId="27B6529A" w:rsidR="7F92569A" w:rsidRDefault="7F92569A" w:rsidP="7F925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7C62" w14:textId="77777777" w:rsidR="0081257B" w:rsidRDefault="0081257B" w:rsidP="00B93EB9">
      <w:r>
        <w:separator/>
      </w:r>
    </w:p>
  </w:footnote>
  <w:footnote w:type="continuationSeparator" w:id="0">
    <w:p w14:paraId="2C539D45" w14:textId="77777777" w:rsidR="0081257B" w:rsidRDefault="0081257B" w:rsidP="00B9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AA4B" w14:textId="255F31C5" w:rsidR="00B93EB9" w:rsidRPr="00B93EB9" w:rsidRDefault="00B93EB9" w:rsidP="00B93EB9">
    <w:pPr>
      <w:pStyle w:val="Header"/>
    </w:pPr>
    <w:r>
      <w:rPr>
        <w:noProof/>
        <w14:ligatures w14:val="standardContextual"/>
      </w:rPr>
      <w:drawing>
        <wp:inline distT="0" distB="0" distL="0" distR="0" wp14:anchorId="50051E2B" wp14:editId="0A758B77">
          <wp:extent cx="2244090" cy="379095"/>
          <wp:effectExtent l="0" t="0" r="381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090" cy="379095"/>
                  </a:xfrm>
                  <a:prstGeom prst="rect">
                    <a:avLst/>
                  </a:prstGeom>
                </pic:spPr>
              </pic:pic>
            </a:graphicData>
          </a:graphic>
        </wp:inline>
      </w:drawing>
    </w:r>
    <w:r>
      <w:rPr>
        <w:noProof/>
        <w14:ligatures w14:val="standardContextual"/>
      </w:rPr>
      <w:drawing>
        <wp:anchor distT="0" distB="0" distL="114300" distR="114300" simplePos="0" relativeHeight="251658240" behindDoc="0" locked="0" layoutInCell="1" allowOverlap="1" wp14:anchorId="3393D932" wp14:editId="16B50882">
          <wp:simplePos x="0" y="0"/>
          <wp:positionH relativeFrom="column">
            <wp:posOffset>4046220</wp:posOffset>
          </wp:positionH>
          <wp:positionV relativeFrom="paragraph">
            <wp:posOffset>-350520</wp:posOffset>
          </wp:positionV>
          <wp:extent cx="2244090" cy="735965"/>
          <wp:effectExtent l="0" t="0" r="0" b="6985"/>
          <wp:wrapSquare wrapText="bothSides"/>
          <wp:docPr id="2"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grey logo&#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15114" t="17713" r="18633" b="24166"/>
                  <a:stretch/>
                </pic:blipFill>
                <pic:spPr bwMode="auto">
                  <a:xfrm>
                    <a:off x="0" y="0"/>
                    <a:ext cx="2244090" cy="7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34C4E"/>
    <w:multiLevelType w:val="hybridMultilevel"/>
    <w:tmpl w:val="2390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4A1C"/>
    <w:multiLevelType w:val="hybridMultilevel"/>
    <w:tmpl w:val="D146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C3189"/>
    <w:multiLevelType w:val="hybridMultilevel"/>
    <w:tmpl w:val="3FAE6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1233B"/>
    <w:multiLevelType w:val="hybridMultilevel"/>
    <w:tmpl w:val="209A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65E99"/>
    <w:multiLevelType w:val="hybridMultilevel"/>
    <w:tmpl w:val="C93E0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6E34A5"/>
    <w:multiLevelType w:val="hybridMultilevel"/>
    <w:tmpl w:val="7CEC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43F52"/>
    <w:multiLevelType w:val="hybridMultilevel"/>
    <w:tmpl w:val="C19E4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54CB7"/>
    <w:multiLevelType w:val="hybridMultilevel"/>
    <w:tmpl w:val="DA56A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4480276">
    <w:abstractNumId w:val="7"/>
  </w:num>
  <w:num w:numId="2" w16cid:durableId="890311111">
    <w:abstractNumId w:val="3"/>
  </w:num>
  <w:num w:numId="3" w16cid:durableId="1863202536">
    <w:abstractNumId w:val="0"/>
  </w:num>
  <w:num w:numId="4" w16cid:durableId="1705128494">
    <w:abstractNumId w:val="4"/>
  </w:num>
  <w:num w:numId="5" w16cid:durableId="969018993">
    <w:abstractNumId w:val="5"/>
  </w:num>
  <w:num w:numId="6" w16cid:durableId="412699081">
    <w:abstractNumId w:val="6"/>
  </w:num>
  <w:num w:numId="7" w16cid:durableId="2069256548">
    <w:abstractNumId w:val="2"/>
  </w:num>
  <w:num w:numId="8" w16cid:durableId="126873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B9"/>
    <w:rsid w:val="00010007"/>
    <w:rsid w:val="00033E75"/>
    <w:rsid w:val="00047230"/>
    <w:rsid w:val="00057968"/>
    <w:rsid w:val="00060E4D"/>
    <w:rsid w:val="00081092"/>
    <w:rsid w:val="000C4472"/>
    <w:rsid w:val="000D2905"/>
    <w:rsid w:val="000D5296"/>
    <w:rsid w:val="00231583"/>
    <w:rsid w:val="002333EB"/>
    <w:rsid w:val="00260DDA"/>
    <w:rsid w:val="003076FF"/>
    <w:rsid w:val="00371279"/>
    <w:rsid w:val="003A06CE"/>
    <w:rsid w:val="00405B03"/>
    <w:rsid w:val="00445F38"/>
    <w:rsid w:val="00455ADE"/>
    <w:rsid w:val="00457456"/>
    <w:rsid w:val="0048285D"/>
    <w:rsid w:val="00496C10"/>
    <w:rsid w:val="004C6E9C"/>
    <w:rsid w:val="004D4909"/>
    <w:rsid w:val="004F29AC"/>
    <w:rsid w:val="004F7DF5"/>
    <w:rsid w:val="00500C59"/>
    <w:rsid w:val="00501413"/>
    <w:rsid w:val="00501705"/>
    <w:rsid w:val="005033C2"/>
    <w:rsid w:val="00542407"/>
    <w:rsid w:val="00555E42"/>
    <w:rsid w:val="005A5B6F"/>
    <w:rsid w:val="005D67E0"/>
    <w:rsid w:val="005E56E5"/>
    <w:rsid w:val="005F3177"/>
    <w:rsid w:val="00655F93"/>
    <w:rsid w:val="0069344C"/>
    <w:rsid w:val="006F75D6"/>
    <w:rsid w:val="00721153"/>
    <w:rsid w:val="00742FEF"/>
    <w:rsid w:val="00764555"/>
    <w:rsid w:val="00765AE8"/>
    <w:rsid w:val="00785F0A"/>
    <w:rsid w:val="00796E5C"/>
    <w:rsid w:val="007B6C12"/>
    <w:rsid w:val="0081257B"/>
    <w:rsid w:val="008863EC"/>
    <w:rsid w:val="008B227E"/>
    <w:rsid w:val="00925BED"/>
    <w:rsid w:val="00970175"/>
    <w:rsid w:val="009B155F"/>
    <w:rsid w:val="009C1DB4"/>
    <w:rsid w:val="00A11CCF"/>
    <w:rsid w:val="00A31EA8"/>
    <w:rsid w:val="00A54C37"/>
    <w:rsid w:val="00A71609"/>
    <w:rsid w:val="00A97776"/>
    <w:rsid w:val="00AF3E9A"/>
    <w:rsid w:val="00B150E5"/>
    <w:rsid w:val="00B51167"/>
    <w:rsid w:val="00B52BC3"/>
    <w:rsid w:val="00B534ED"/>
    <w:rsid w:val="00B56B70"/>
    <w:rsid w:val="00B93EB9"/>
    <w:rsid w:val="00BB1EC5"/>
    <w:rsid w:val="00BC38F5"/>
    <w:rsid w:val="00BD4398"/>
    <w:rsid w:val="00BE4B7A"/>
    <w:rsid w:val="00BF4D04"/>
    <w:rsid w:val="00C47F5C"/>
    <w:rsid w:val="00C73B1F"/>
    <w:rsid w:val="00CB6943"/>
    <w:rsid w:val="00CB75E7"/>
    <w:rsid w:val="00D508E0"/>
    <w:rsid w:val="00DA7F73"/>
    <w:rsid w:val="00E47828"/>
    <w:rsid w:val="00F47984"/>
    <w:rsid w:val="00F51591"/>
    <w:rsid w:val="00F73614"/>
    <w:rsid w:val="00F80B1E"/>
    <w:rsid w:val="093F2C38"/>
    <w:rsid w:val="0E6EF63F"/>
    <w:rsid w:val="12CCE621"/>
    <w:rsid w:val="2FC1284C"/>
    <w:rsid w:val="5FEAFFE0"/>
    <w:rsid w:val="7F92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2A7A"/>
  <w15:chartTrackingRefBased/>
  <w15:docId w15:val="{565FCEDD-5053-4B50-A618-481034D8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B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B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EB9"/>
    <w:pPr>
      <w:tabs>
        <w:tab w:val="center" w:pos="4513"/>
        <w:tab w:val="right" w:pos="9026"/>
      </w:tabs>
    </w:pPr>
  </w:style>
  <w:style w:type="character" w:customStyle="1" w:styleId="HeaderChar">
    <w:name w:val="Header Char"/>
    <w:basedOn w:val="DefaultParagraphFont"/>
    <w:link w:val="Header"/>
    <w:uiPriority w:val="99"/>
    <w:rsid w:val="00B93EB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B93EB9"/>
    <w:pPr>
      <w:tabs>
        <w:tab w:val="center" w:pos="4513"/>
        <w:tab w:val="right" w:pos="9026"/>
      </w:tabs>
    </w:pPr>
  </w:style>
  <w:style w:type="character" w:customStyle="1" w:styleId="FooterChar">
    <w:name w:val="Footer Char"/>
    <w:basedOn w:val="DefaultParagraphFont"/>
    <w:link w:val="Footer"/>
    <w:uiPriority w:val="99"/>
    <w:rsid w:val="00B93EB9"/>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93EB9"/>
    <w:pPr>
      <w:ind w:left="720"/>
      <w:contextualSpacing/>
    </w:pPr>
  </w:style>
  <w:style w:type="paragraph" w:styleId="Revision">
    <w:name w:val="Revision"/>
    <w:hidden/>
    <w:uiPriority w:val="99"/>
    <w:semiHidden/>
    <w:rsid w:val="00260DDA"/>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5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8A3DA0-BF48-4238-AC12-B25F47865218}"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765237B2-8BCD-4E18-9D2D-FD02A481A53D}">
      <dgm:prSet phldrT="[Text]"/>
      <dgm:spPr/>
      <dgm:t>
        <a:bodyPr/>
        <a:lstStyle/>
        <a:p>
          <a:r>
            <a:rPr lang="en-GB"/>
            <a:t>Review learner progress</a:t>
          </a:r>
        </a:p>
      </dgm:t>
    </dgm:pt>
    <dgm:pt modelId="{F9ED43C4-8F80-45C5-ADA1-3CC1A242C44C}" type="parTrans" cxnId="{F9F9A1A6-265C-4BC2-8342-3ED4362917EA}">
      <dgm:prSet/>
      <dgm:spPr/>
      <dgm:t>
        <a:bodyPr/>
        <a:lstStyle/>
        <a:p>
          <a:endParaRPr lang="en-GB"/>
        </a:p>
      </dgm:t>
    </dgm:pt>
    <dgm:pt modelId="{4F8F1609-68D5-4DFB-A840-4BE82026476B}" type="sibTrans" cxnId="{F9F9A1A6-265C-4BC2-8342-3ED4362917EA}">
      <dgm:prSet custT="1"/>
      <dgm:spPr/>
      <dgm:t>
        <a:bodyPr/>
        <a:lstStyle/>
        <a:p>
          <a:r>
            <a:rPr lang="en-GB" sz="1400">
              <a:latin typeface="Verdana" panose="020B0604030504040204" pitchFamily="34" charset="0"/>
              <a:ea typeface="Verdana" panose="020B0604030504040204" pitchFamily="34" charset="0"/>
            </a:rPr>
            <a:t>Interview/Induction</a:t>
          </a:r>
        </a:p>
      </dgm:t>
    </dgm:pt>
    <dgm:pt modelId="{D451716E-3171-483D-9617-3156233E4CB1}">
      <dgm:prSet phldrT="[Text]"/>
      <dgm:spPr/>
      <dgm:t>
        <a:bodyPr/>
        <a:lstStyle/>
        <a:p>
          <a:r>
            <a:rPr lang="en-GB"/>
            <a:t>Course completion &amp; progression</a:t>
          </a:r>
        </a:p>
      </dgm:t>
    </dgm:pt>
    <dgm:pt modelId="{A208B893-10A3-4851-A760-CB9AA0B0FC78}" type="parTrans" cxnId="{64D3F5AE-A9FC-4D35-9EFF-FEB7B5DBCC35}">
      <dgm:prSet/>
      <dgm:spPr/>
      <dgm:t>
        <a:bodyPr/>
        <a:lstStyle/>
        <a:p>
          <a:endParaRPr lang="en-GB"/>
        </a:p>
      </dgm:t>
    </dgm:pt>
    <dgm:pt modelId="{87BCDCC7-5D0C-4F56-AB06-F65AC7EFDA3C}" type="sibTrans" cxnId="{64D3F5AE-A9FC-4D35-9EFF-FEB7B5DBCC35}">
      <dgm:prSet/>
      <dgm:spPr/>
      <dgm:t>
        <a:bodyPr/>
        <a:lstStyle/>
        <a:p>
          <a:r>
            <a:rPr lang="en-GB"/>
            <a:t>Delivery</a:t>
          </a:r>
          <a:r>
            <a:rPr lang="en-GB" baseline="0"/>
            <a:t> </a:t>
          </a:r>
          <a:endParaRPr lang="en-GB"/>
        </a:p>
      </dgm:t>
    </dgm:pt>
    <dgm:pt modelId="{14EFB28A-99BF-4D50-8D5F-BB9145E50327}">
      <dgm:prSet phldrT="[Text]"/>
      <dgm:spPr/>
      <dgm:t>
        <a:bodyPr/>
        <a:lstStyle/>
        <a:p>
          <a:r>
            <a:rPr lang="en-GB"/>
            <a:t>Monitoring of learner leavers. </a:t>
          </a:r>
        </a:p>
      </dgm:t>
    </dgm:pt>
    <dgm:pt modelId="{5FCD997F-4820-4B40-BB4B-BCEEF5BABC98}" type="parTrans" cxnId="{D1F57EAA-0086-4712-8DA2-2DBEBE10ECA9}">
      <dgm:prSet/>
      <dgm:spPr/>
      <dgm:t>
        <a:bodyPr/>
        <a:lstStyle/>
        <a:p>
          <a:endParaRPr lang="en-GB"/>
        </a:p>
      </dgm:t>
    </dgm:pt>
    <dgm:pt modelId="{866C93AB-18B4-4035-B15B-BDB0D5C4A7A1}" type="sibTrans" cxnId="{D1F57EAA-0086-4712-8DA2-2DBEBE10ECA9}">
      <dgm:prSet/>
      <dgm:spPr>
        <a:noFill/>
      </dgm:spPr>
      <dgm:t>
        <a:bodyPr/>
        <a:lstStyle/>
        <a:p>
          <a:endParaRPr lang="en-GB"/>
        </a:p>
      </dgm:t>
    </dgm:pt>
    <dgm:pt modelId="{5C58A439-2486-4CC6-8F92-3438262E8E31}" type="pres">
      <dgm:prSet presAssocID="{E18A3DA0-BF48-4238-AC12-B25F47865218}" presName="Name0" presStyleCnt="0">
        <dgm:presLayoutVars>
          <dgm:chMax/>
          <dgm:chPref/>
          <dgm:dir/>
          <dgm:animLvl val="lvl"/>
        </dgm:presLayoutVars>
      </dgm:prSet>
      <dgm:spPr/>
    </dgm:pt>
    <dgm:pt modelId="{06FB0B27-6A85-44B9-8181-5893E89E2796}" type="pres">
      <dgm:prSet presAssocID="{765237B2-8BCD-4E18-9D2D-FD02A481A53D}" presName="composite" presStyleCnt="0"/>
      <dgm:spPr/>
    </dgm:pt>
    <dgm:pt modelId="{072166C2-E00D-45FF-9F9E-07A4C163AD05}" type="pres">
      <dgm:prSet presAssocID="{765237B2-8BCD-4E18-9D2D-FD02A481A53D}" presName="Parent1" presStyleLbl="node1" presStyleIdx="0" presStyleCnt="6" custLinFactX="-59561" custLinFactNeighborX="-100000" custLinFactNeighborY="93563">
        <dgm:presLayoutVars>
          <dgm:chMax val="1"/>
          <dgm:chPref val="1"/>
          <dgm:bulletEnabled val="1"/>
        </dgm:presLayoutVars>
      </dgm:prSet>
      <dgm:spPr/>
    </dgm:pt>
    <dgm:pt modelId="{69BA4990-6555-4CD9-9413-4DBE4DC1543D}" type="pres">
      <dgm:prSet presAssocID="{765237B2-8BCD-4E18-9D2D-FD02A481A53D}" presName="Childtext1" presStyleLbl="revTx" presStyleIdx="0" presStyleCnt="3" custLinFactX="-73371" custLinFactNeighborX="-100000" custLinFactNeighborY="-9072">
        <dgm:presLayoutVars>
          <dgm:chMax val="0"/>
          <dgm:chPref val="0"/>
          <dgm:bulletEnabled val="1"/>
        </dgm:presLayoutVars>
      </dgm:prSet>
      <dgm:spPr/>
    </dgm:pt>
    <dgm:pt modelId="{37BCAB49-BF19-4641-861C-A02B66D8DE3C}" type="pres">
      <dgm:prSet presAssocID="{765237B2-8BCD-4E18-9D2D-FD02A481A53D}" presName="BalanceSpacing" presStyleCnt="0"/>
      <dgm:spPr/>
    </dgm:pt>
    <dgm:pt modelId="{0EA5C467-9B4E-46C0-A5D9-055C7DB95BA5}" type="pres">
      <dgm:prSet presAssocID="{765237B2-8BCD-4E18-9D2D-FD02A481A53D}" presName="BalanceSpacing1" presStyleCnt="0"/>
      <dgm:spPr/>
    </dgm:pt>
    <dgm:pt modelId="{5333C139-0125-477E-91EE-B49E3C7443F5}" type="pres">
      <dgm:prSet presAssocID="{4F8F1609-68D5-4DFB-A840-4BE82026476B}" presName="Accent1Text" presStyleLbl="node1" presStyleIdx="1" presStyleCnt="6" custAng="0" custLinFactNeighborX="-53675" custLinFactNeighborY="-63464"/>
      <dgm:spPr/>
    </dgm:pt>
    <dgm:pt modelId="{279DC94A-6CC0-4F08-B2D4-58AC5E0E8A9E}" type="pres">
      <dgm:prSet presAssocID="{4F8F1609-68D5-4DFB-A840-4BE82026476B}" presName="spaceBetweenRectangles" presStyleCnt="0"/>
      <dgm:spPr/>
    </dgm:pt>
    <dgm:pt modelId="{B4CC8A1E-F3E9-4BD1-B888-15CD9B37306D}" type="pres">
      <dgm:prSet presAssocID="{D451716E-3171-483D-9617-3156233E4CB1}" presName="composite" presStyleCnt="0"/>
      <dgm:spPr/>
    </dgm:pt>
    <dgm:pt modelId="{E62B76DB-9023-4400-B15F-B231C602885C}" type="pres">
      <dgm:prSet presAssocID="{D451716E-3171-483D-9617-3156233E4CB1}" presName="Parent1" presStyleLbl="node1" presStyleIdx="2" presStyleCnt="6" custLinFactNeighborX="-54388" custLinFactNeighborY="83950">
        <dgm:presLayoutVars>
          <dgm:chMax val="1"/>
          <dgm:chPref val="1"/>
          <dgm:bulletEnabled val="1"/>
        </dgm:presLayoutVars>
      </dgm:prSet>
      <dgm:spPr/>
    </dgm:pt>
    <dgm:pt modelId="{3CFC91C1-B96B-4416-81F7-69B8AC98BCED}" type="pres">
      <dgm:prSet presAssocID="{D451716E-3171-483D-9617-3156233E4CB1}" presName="Childtext1" presStyleLbl="revTx" presStyleIdx="1" presStyleCnt="3" custScaleX="74568" custLinFactY="-48452" custLinFactNeighborX="48568" custLinFactNeighborY="-100000">
        <dgm:presLayoutVars>
          <dgm:chMax val="0"/>
          <dgm:chPref val="0"/>
          <dgm:bulletEnabled val="1"/>
        </dgm:presLayoutVars>
      </dgm:prSet>
      <dgm:spPr/>
    </dgm:pt>
    <dgm:pt modelId="{EC530B02-1763-45BD-95B5-96FBC46508AB}" type="pres">
      <dgm:prSet presAssocID="{D451716E-3171-483D-9617-3156233E4CB1}" presName="BalanceSpacing" presStyleCnt="0"/>
      <dgm:spPr/>
    </dgm:pt>
    <dgm:pt modelId="{68EE8952-D87F-4A12-9516-ED0319742C95}" type="pres">
      <dgm:prSet presAssocID="{D451716E-3171-483D-9617-3156233E4CB1}" presName="BalanceSpacing1" presStyleCnt="0"/>
      <dgm:spPr/>
    </dgm:pt>
    <dgm:pt modelId="{CEC7F2DF-DFD5-4F1E-88AE-29B96F28608B}" type="pres">
      <dgm:prSet presAssocID="{87BCDCC7-5D0C-4F56-AB06-F65AC7EFDA3C}" presName="Accent1Text" presStyleLbl="node1" presStyleIdx="3" presStyleCnt="6" custLinFactX="-65628" custLinFactNeighborX="-100000" custLinFactNeighborY="-70836"/>
      <dgm:spPr/>
    </dgm:pt>
    <dgm:pt modelId="{BECAD6C4-11B7-4F5C-B3E0-6DB32F2F6EB1}" type="pres">
      <dgm:prSet presAssocID="{87BCDCC7-5D0C-4F56-AB06-F65AC7EFDA3C}" presName="spaceBetweenRectangles" presStyleCnt="0"/>
      <dgm:spPr/>
    </dgm:pt>
    <dgm:pt modelId="{7179EE2B-FFCE-4C56-AAF9-CE8A4787FFF4}" type="pres">
      <dgm:prSet presAssocID="{14EFB28A-99BF-4D50-8D5F-BB9145E50327}" presName="composite" presStyleCnt="0"/>
      <dgm:spPr/>
    </dgm:pt>
    <dgm:pt modelId="{3D29E7EB-7E89-41DB-BA97-EA60ECE01BD3}" type="pres">
      <dgm:prSet presAssocID="{14EFB28A-99BF-4D50-8D5F-BB9145E50327}" presName="Parent1" presStyleLbl="node1" presStyleIdx="4" presStyleCnt="6" custLinFactX="-56504" custLinFactNeighborX="-100000" custLinFactNeighborY="75807">
        <dgm:presLayoutVars>
          <dgm:chMax val="1"/>
          <dgm:chPref val="1"/>
          <dgm:bulletEnabled val="1"/>
        </dgm:presLayoutVars>
      </dgm:prSet>
      <dgm:spPr/>
    </dgm:pt>
    <dgm:pt modelId="{1A6A4BAD-2099-4D36-812D-35A3760BDE76}" type="pres">
      <dgm:prSet presAssocID="{14EFB28A-99BF-4D50-8D5F-BB9145E50327}" presName="Childtext1" presStyleLbl="revTx" presStyleIdx="2" presStyleCnt="3">
        <dgm:presLayoutVars>
          <dgm:chMax val="0"/>
          <dgm:chPref val="0"/>
          <dgm:bulletEnabled val="1"/>
        </dgm:presLayoutVars>
      </dgm:prSet>
      <dgm:spPr/>
    </dgm:pt>
    <dgm:pt modelId="{4939A4E1-6032-498A-8832-502802EB9D17}" type="pres">
      <dgm:prSet presAssocID="{14EFB28A-99BF-4D50-8D5F-BB9145E50327}" presName="BalanceSpacing" presStyleCnt="0"/>
      <dgm:spPr/>
    </dgm:pt>
    <dgm:pt modelId="{62BAF4DB-2C1E-475C-A91F-6B2B9E0C8C0F}" type="pres">
      <dgm:prSet presAssocID="{14EFB28A-99BF-4D50-8D5F-BB9145E50327}" presName="BalanceSpacing1" presStyleCnt="0"/>
      <dgm:spPr/>
    </dgm:pt>
    <dgm:pt modelId="{0282D5E9-00D0-406D-8D77-D6ABE7CDD402}" type="pres">
      <dgm:prSet presAssocID="{866C93AB-18B4-4035-B15B-BDB0D5C4A7A1}" presName="Accent1Text" presStyleLbl="node1" presStyleIdx="5" presStyleCnt="6" custLinFactNeighborX="-48028" custLinFactNeighborY="76013"/>
      <dgm:spPr/>
    </dgm:pt>
  </dgm:ptLst>
  <dgm:cxnLst>
    <dgm:cxn modelId="{3A0E1609-D06B-464D-8DED-BD22E97E3D6A}" type="presOf" srcId="{866C93AB-18B4-4035-B15B-BDB0D5C4A7A1}" destId="{0282D5E9-00D0-406D-8D77-D6ABE7CDD402}" srcOrd="0" destOrd="0" presId="urn:microsoft.com/office/officeart/2008/layout/AlternatingHexagons"/>
    <dgm:cxn modelId="{E13B1231-5817-4F75-9C9B-61E274F6B83E}" type="presOf" srcId="{87BCDCC7-5D0C-4F56-AB06-F65AC7EFDA3C}" destId="{CEC7F2DF-DFD5-4F1E-88AE-29B96F28608B}" srcOrd="0" destOrd="0" presId="urn:microsoft.com/office/officeart/2008/layout/AlternatingHexagons"/>
    <dgm:cxn modelId="{971F8D5D-2AA6-4E7A-BAEF-B2AB3F2906B8}" type="presOf" srcId="{4F8F1609-68D5-4DFB-A840-4BE82026476B}" destId="{5333C139-0125-477E-91EE-B49E3C7443F5}" srcOrd="0" destOrd="0" presId="urn:microsoft.com/office/officeart/2008/layout/AlternatingHexagons"/>
    <dgm:cxn modelId="{69A3F486-92BA-4212-A2DD-BE68E1C2ADF5}" type="presOf" srcId="{14EFB28A-99BF-4D50-8D5F-BB9145E50327}" destId="{3D29E7EB-7E89-41DB-BA97-EA60ECE01BD3}" srcOrd="0" destOrd="0" presId="urn:microsoft.com/office/officeart/2008/layout/AlternatingHexagons"/>
    <dgm:cxn modelId="{A2257798-5193-4720-9F30-DE8D079631D4}" type="presOf" srcId="{E18A3DA0-BF48-4238-AC12-B25F47865218}" destId="{5C58A439-2486-4CC6-8F92-3438262E8E31}" srcOrd="0" destOrd="0" presId="urn:microsoft.com/office/officeart/2008/layout/AlternatingHexagons"/>
    <dgm:cxn modelId="{724F91A1-35F2-43C9-84CA-4A9E1CBBD80A}" type="presOf" srcId="{D451716E-3171-483D-9617-3156233E4CB1}" destId="{E62B76DB-9023-4400-B15F-B231C602885C}" srcOrd="0" destOrd="0" presId="urn:microsoft.com/office/officeart/2008/layout/AlternatingHexagons"/>
    <dgm:cxn modelId="{F9F9A1A6-265C-4BC2-8342-3ED4362917EA}" srcId="{E18A3DA0-BF48-4238-AC12-B25F47865218}" destId="{765237B2-8BCD-4E18-9D2D-FD02A481A53D}" srcOrd="0" destOrd="0" parTransId="{F9ED43C4-8F80-45C5-ADA1-3CC1A242C44C}" sibTransId="{4F8F1609-68D5-4DFB-A840-4BE82026476B}"/>
    <dgm:cxn modelId="{D1F57EAA-0086-4712-8DA2-2DBEBE10ECA9}" srcId="{E18A3DA0-BF48-4238-AC12-B25F47865218}" destId="{14EFB28A-99BF-4D50-8D5F-BB9145E50327}" srcOrd="2" destOrd="0" parTransId="{5FCD997F-4820-4B40-BB4B-BCEEF5BABC98}" sibTransId="{866C93AB-18B4-4035-B15B-BDB0D5C4A7A1}"/>
    <dgm:cxn modelId="{64D3F5AE-A9FC-4D35-9EFF-FEB7B5DBCC35}" srcId="{E18A3DA0-BF48-4238-AC12-B25F47865218}" destId="{D451716E-3171-483D-9617-3156233E4CB1}" srcOrd="1" destOrd="0" parTransId="{A208B893-10A3-4851-A760-CB9AA0B0FC78}" sibTransId="{87BCDCC7-5D0C-4F56-AB06-F65AC7EFDA3C}"/>
    <dgm:cxn modelId="{2A0404DE-CC9B-4628-A606-9098D3B4AC2F}" type="presOf" srcId="{765237B2-8BCD-4E18-9D2D-FD02A481A53D}" destId="{072166C2-E00D-45FF-9F9E-07A4C163AD05}" srcOrd="0" destOrd="0" presId="urn:microsoft.com/office/officeart/2008/layout/AlternatingHexagons"/>
    <dgm:cxn modelId="{CD02EA98-7A8C-49E9-824E-0688B255347C}" type="presParOf" srcId="{5C58A439-2486-4CC6-8F92-3438262E8E31}" destId="{06FB0B27-6A85-44B9-8181-5893E89E2796}" srcOrd="0" destOrd="0" presId="urn:microsoft.com/office/officeart/2008/layout/AlternatingHexagons"/>
    <dgm:cxn modelId="{0B31FB9E-B69C-4F7F-AF65-ACC9B7007C3D}" type="presParOf" srcId="{06FB0B27-6A85-44B9-8181-5893E89E2796}" destId="{072166C2-E00D-45FF-9F9E-07A4C163AD05}" srcOrd="0" destOrd="0" presId="urn:microsoft.com/office/officeart/2008/layout/AlternatingHexagons"/>
    <dgm:cxn modelId="{4BA8251A-8ED5-4109-8C13-807324299F3D}" type="presParOf" srcId="{06FB0B27-6A85-44B9-8181-5893E89E2796}" destId="{69BA4990-6555-4CD9-9413-4DBE4DC1543D}" srcOrd="1" destOrd="0" presId="urn:microsoft.com/office/officeart/2008/layout/AlternatingHexagons"/>
    <dgm:cxn modelId="{65976E5F-8F6E-461E-B9BB-C1DFA72610A8}" type="presParOf" srcId="{06FB0B27-6A85-44B9-8181-5893E89E2796}" destId="{37BCAB49-BF19-4641-861C-A02B66D8DE3C}" srcOrd="2" destOrd="0" presId="urn:microsoft.com/office/officeart/2008/layout/AlternatingHexagons"/>
    <dgm:cxn modelId="{0F5281AD-5D3C-4A6A-AD96-0DD1AD1F25A3}" type="presParOf" srcId="{06FB0B27-6A85-44B9-8181-5893E89E2796}" destId="{0EA5C467-9B4E-46C0-A5D9-055C7DB95BA5}" srcOrd="3" destOrd="0" presId="urn:microsoft.com/office/officeart/2008/layout/AlternatingHexagons"/>
    <dgm:cxn modelId="{0888FF94-54B6-4FAA-8924-53CBE24AB488}" type="presParOf" srcId="{06FB0B27-6A85-44B9-8181-5893E89E2796}" destId="{5333C139-0125-477E-91EE-B49E3C7443F5}" srcOrd="4" destOrd="0" presId="urn:microsoft.com/office/officeart/2008/layout/AlternatingHexagons"/>
    <dgm:cxn modelId="{C067FA23-DC20-4FD0-8611-93A2F955F3F6}" type="presParOf" srcId="{5C58A439-2486-4CC6-8F92-3438262E8E31}" destId="{279DC94A-6CC0-4F08-B2D4-58AC5E0E8A9E}" srcOrd="1" destOrd="0" presId="urn:microsoft.com/office/officeart/2008/layout/AlternatingHexagons"/>
    <dgm:cxn modelId="{3D8E327C-9EDA-4A1C-9205-6A05DD69E32C}" type="presParOf" srcId="{5C58A439-2486-4CC6-8F92-3438262E8E31}" destId="{B4CC8A1E-F3E9-4BD1-B888-15CD9B37306D}" srcOrd="2" destOrd="0" presId="urn:microsoft.com/office/officeart/2008/layout/AlternatingHexagons"/>
    <dgm:cxn modelId="{8D7D74F1-180E-46D7-9C31-E96DC554EA1F}" type="presParOf" srcId="{B4CC8A1E-F3E9-4BD1-B888-15CD9B37306D}" destId="{E62B76DB-9023-4400-B15F-B231C602885C}" srcOrd="0" destOrd="0" presId="urn:microsoft.com/office/officeart/2008/layout/AlternatingHexagons"/>
    <dgm:cxn modelId="{D88C1E84-3857-4EB0-B0FA-D604B89F9957}" type="presParOf" srcId="{B4CC8A1E-F3E9-4BD1-B888-15CD9B37306D}" destId="{3CFC91C1-B96B-4416-81F7-69B8AC98BCED}" srcOrd="1" destOrd="0" presId="urn:microsoft.com/office/officeart/2008/layout/AlternatingHexagons"/>
    <dgm:cxn modelId="{131C0901-3022-4880-8D54-4F8AE715791C}" type="presParOf" srcId="{B4CC8A1E-F3E9-4BD1-B888-15CD9B37306D}" destId="{EC530B02-1763-45BD-95B5-96FBC46508AB}" srcOrd="2" destOrd="0" presId="urn:microsoft.com/office/officeart/2008/layout/AlternatingHexagons"/>
    <dgm:cxn modelId="{FDE3FDB4-3548-40BD-8C51-7252EC09FAB9}" type="presParOf" srcId="{B4CC8A1E-F3E9-4BD1-B888-15CD9B37306D}" destId="{68EE8952-D87F-4A12-9516-ED0319742C95}" srcOrd="3" destOrd="0" presId="urn:microsoft.com/office/officeart/2008/layout/AlternatingHexagons"/>
    <dgm:cxn modelId="{1C197905-786C-432D-948C-A231023D9CFB}" type="presParOf" srcId="{B4CC8A1E-F3E9-4BD1-B888-15CD9B37306D}" destId="{CEC7F2DF-DFD5-4F1E-88AE-29B96F28608B}" srcOrd="4" destOrd="0" presId="urn:microsoft.com/office/officeart/2008/layout/AlternatingHexagons"/>
    <dgm:cxn modelId="{39C77796-4F22-416A-B436-C379DAA7B224}" type="presParOf" srcId="{5C58A439-2486-4CC6-8F92-3438262E8E31}" destId="{BECAD6C4-11B7-4F5C-B3E0-6DB32F2F6EB1}" srcOrd="3" destOrd="0" presId="urn:microsoft.com/office/officeart/2008/layout/AlternatingHexagons"/>
    <dgm:cxn modelId="{F00A2C4E-D6A5-4CC3-B12A-C9F5372CBE4D}" type="presParOf" srcId="{5C58A439-2486-4CC6-8F92-3438262E8E31}" destId="{7179EE2B-FFCE-4C56-AAF9-CE8A4787FFF4}" srcOrd="4" destOrd="0" presId="urn:microsoft.com/office/officeart/2008/layout/AlternatingHexagons"/>
    <dgm:cxn modelId="{E9909A97-78FF-4D33-97E3-689D71F0F007}" type="presParOf" srcId="{7179EE2B-FFCE-4C56-AAF9-CE8A4787FFF4}" destId="{3D29E7EB-7E89-41DB-BA97-EA60ECE01BD3}" srcOrd="0" destOrd="0" presId="urn:microsoft.com/office/officeart/2008/layout/AlternatingHexagons"/>
    <dgm:cxn modelId="{5A06FB86-6A23-4CBE-9908-6EF6ACB4D60B}" type="presParOf" srcId="{7179EE2B-FFCE-4C56-AAF9-CE8A4787FFF4}" destId="{1A6A4BAD-2099-4D36-812D-35A3760BDE76}" srcOrd="1" destOrd="0" presId="urn:microsoft.com/office/officeart/2008/layout/AlternatingHexagons"/>
    <dgm:cxn modelId="{CD747CAD-44C5-48AA-8B94-938D7C79ED91}" type="presParOf" srcId="{7179EE2B-FFCE-4C56-AAF9-CE8A4787FFF4}" destId="{4939A4E1-6032-498A-8832-502802EB9D17}" srcOrd="2" destOrd="0" presId="urn:microsoft.com/office/officeart/2008/layout/AlternatingHexagons"/>
    <dgm:cxn modelId="{A21A56BD-CFEF-430C-BAAF-AB9B8EC1B502}" type="presParOf" srcId="{7179EE2B-FFCE-4C56-AAF9-CE8A4787FFF4}" destId="{62BAF4DB-2C1E-475C-A91F-6B2B9E0C8C0F}" srcOrd="3" destOrd="0" presId="urn:microsoft.com/office/officeart/2008/layout/AlternatingHexagons"/>
    <dgm:cxn modelId="{BFD7BD7F-7DC1-4744-B217-5B91FC2EC6D8}" type="presParOf" srcId="{7179EE2B-FFCE-4C56-AAF9-CE8A4787FFF4}" destId="{0282D5E9-00D0-406D-8D77-D6ABE7CDD402}" srcOrd="4" destOrd="0" presId="urn:microsoft.com/office/officeart/2008/layout/AlternatingHexagon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2166C2-E00D-45FF-9F9E-07A4C163AD05}">
      <dsp:nvSpPr>
        <dsp:cNvPr id="0" name=""/>
        <dsp:cNvSpPr/>
      </dsp:nvSpPr>
      <dsp:spPr>
        <a:xfrm rot="5400000">
          <a:off x="211077" y="2769320"/>
          <a:ext cx="1550001" cy="134850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Review learner progress</a:t>
          </a:r>
        </a:p>
      </dsp:txBody>
      <dsp:txXfrm rot="-5400000">
        <a:off x="521968" y="2910112"/>
        <a:ext cx="928219" cy="1066917"/>
      </dsp:txXfrm>
    </dsp:sp>
    <dsp:sp modelId="{69BA4990-6555-4CD9-9413-4DBE4DC1543D}">
      <dsp:nvSpPr>
        <dsp:cNvPr id="0" name=""/>
        <dsp:cNvSpPr/>
      </dsp:nvSpPr>
      <dsp:spPr>
        <a:xfrm>
          <a:off x="853956" y="1443973"/>
          <a:ext cx="1729801" cy="930000"/>
        </a:xfrm>
        <a:prstGeom prst="rect">
          <a:avLst/>
        </a:prstGeom>
        <a:noFill/>
        <a:ln>
          <a:noFill/>
        </a:ln>
        <a:effectLst/>
      </dsp:spPr>
      <dsp:style>
        <a:lnRef idx="0">
          <a:scrgbClr r="0" g="0" b="0"/>
        </a:lnRef>
        <a:fillRef idx="0">
          <a:scrgbClr r="0" g="0" b="0"/>
        </a:fillRef>
        <a:effectRef idx="0">
          <a:scrgbClr r="0" g="0" b="0"/>
        </a:effectRef>
        <a:fontRef idx="minor"/>
      </dsp:style>
    </dsp:sp>
    <dsp:sp modelId="{5333C139-0125-477E-91EE-B49E3C7443F5}">
      <dsp:nvSpPr>
        <dsp:cNvPr id="0" name=""/>
        <dsp:cNvSpPr/>
      </dsp:nvSpPr>
      <dsp:spPr>
        <a:xfrm rot="5400000">
          <a:off x="182570" y="335400"/>
          <a:ext cx="1550001" cy="134850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kern="1200">
              <a:latin typeface="Verdana" panose="020B0604030504040204" pitchFamily="34" charset="0"/>
              <a:ea typeface="Verdana" panose="020B0604030504040204" pitchFamily="34" charset="0"/>
            </a:rPr>
            <a:t>Interview/Induction</a:t>
          </a:r>
        </a:p>
      </dsp:txBody>
      <dsp:txXfrm rot="-5400000">
        <a:off x="493461" y="476192"/>
        <a:ext cx="928219" cy="1066917"/>
      </dsp:txXfrm>
    </dsp:sp>
    <dsp:sp modelId="{E62B76DB-9023-4400-B15F-B231C602885C}">
      <dsp:nvSpPr>
        <dsp:cNvPr id="0" name=""/>
        <dsp:cNvSpPr/>
      </dsp:nvSpPr>
      <dsp:spPr>
        <a:xfrm rot="5400000">
          <a:off x="898355" y="3935960"/>
          <a:ext cx="1550001" cy="134850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Course completion &amp; progression</a:t>
          </a:r>
        </a:p>
      </dsp:txBody>
      <dsp:txXfrm rot="-5400000">
        <a:off x="1209246" y="4076752"/>
        <a:ext cx="928219" cy="1066917"/>
      </dsp:txXfrm>
    </dsp:sp>
    <dsp:sp modelId="{3CFC91C1-B96B-4416-81F7-69B8AC98BCED}">
      <dsp:nvSpPr>
        <dsp:cNvPr id="0" name=""/>
        <dsp:cNvSpPr/>
      </dsp:nvSpPr>
      <dsp:spPr>
        <a:xfrm>
          <a:off x="1028622" y="1463379"/>
          <a:ext cx="1248269" cy="930000"/>
        </a:xfrm>
        <a:prstGeom prst="rect">
          <a:avLst/>
        </a:prstGeom>
        <a:noFill/>
        <a:ln>
          <a:noFill/>
        </a:ln>
        <a:effectLst/>
      </dsp:spPr>
      <dsp:style>
        <a:lnRef idx="0">
          <a:scrgbClr r="0" g="0" b="0"/>
        </a:lnRef>
        <a:fillRef idx="0">
          <a:scrgbClr r="0" g="0" b="0"/>
        </a:fillRef>
        <a:effectRef idx="0">
          <a:scrgbClr r="0" g="0" b="0"/>
        </a:effectRef>
        <a:fontRef idx="minor"/>
      </dsp:style>
    </dsp:sp>
    <dsp:sp modelId="{CEC7F2DF-DFD5-4F1E-88AE-29B96F28608B}">
      <dsp:nvSpPr>
        <dsp:cNvPr id="0" name=""/>
        <dsp:cNvSpPr/>
      </dsp:nvSpPr>
      <dsp:spPr>
        <a:xfrm rot="5400000">
          <a:off x="854664" y="1536775"/>
          <a:ext cx="1550001" cy="134850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r>
            <a:rPr lang="en-GB" sz="2200" kern="1200"/>
            <a:t>Delivery</a:t>
          </a:r>
          <a:r>
            <a:rPr lang="en-GB" sz="2200" kern="1200" baseline="0"/>
            <a:t> </a:t>
          </a:r>
          <a:endParaRPr lang="en-GB" sz="2200" kern="1200"/>
        </a:p>
      </dsp:txBody>
      <dsp:txXfrm rot="-5400000">
        <a:off x="1165555" y="1677567"/>
        <a:ext cx="928219" cy="1066917"/>
      </dsp:txXfrm>
    </dsp:sp>
    <dsp:sp modelId="{3D29E7EB-7E89-41DB-BA97-EA60ECE01BD3}">
      <dsp:nvSpPr>
        <dsp:cNvPr id="0" name=""/>
        <dsp:cNvSpPr/>
      </dsp:nvSpPr>
      <dsp:spPr>
        <a:xfrm rot="5400000">
          <a:off x="252301" y="5125385"/>
          <a:ext cx="1550001" cy="134850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Monitoring of learner leavers. </a:t>
          </a:r>
        </a:p>
      </dsp:txBody>
      <dsp:txXfrm rot="-5400000">
        <a:off x="563192" y="5266177"/>
        <a:ext cx="928219" cy="1066917"/>
      </dsp:txXfrm>
    </dsp:sp>
    <dsp:sp modelId="{1A6A4BAD-2099-4D36-812D-35A3760BDE76}">
      <dsp:nvSpPr>
        <dsp:cNvPr id="0" name=""/>
        <dsp:cNvSpPr/>
      </dsp:nvSpPr>
      <dsp:spPr>
        <a:xfrm>
          <a:off x="3852931" y="4159625"/>
          <a:ext cx="1729801" cy="930000"/>
        </a:xfrm>
        <a:prstGeom prst="rect">
          <a:avLst/>
        </a:prstGeom>
        <a:noFill/>
        <a:ln>
          <a:noFill/>
        </a:ln>
        <a:effectLst/>
      </dsp:spPr>
      <dsp:style>
        <a:lnRef idx="0">
          <a:scrgbClr r="0" g="0" b="0"/>
        </a:lnRef>
        <a:fillRef idx="0">
          <a:scrgbClr r="0" g="0" b="0"/>
        </a:fillRef>
        <a:effectRef idx="0">
          <a:scrgbClr r="0" g="0" b="0"/>
        </a:effectRef>
        <a:fontRef idx="minor"/>
      </dsp:style>
    </dsp:sp>
    <dsp:sp modelId="{0282D5E9-00D0-406D-8D77-D6ABE7CDD402}">
      <dsp:nvSpPr>
        <dsp:cNvPr id="0" name=""/>
        <dsp:cNvSpPr/>
      </dsp:nvSpPr>
      <dsp:spPr>
        <a:xfrm rot="5400000">
          <a:off x="258719" y="5128578"/>
          <a:ext cx="1550001" cy="1348501"/>
        </a:xfrm>
        <a:prstGeom prst="hexagon">
          <a:avLst>
            <a:gd name="adj" fmla="val 25000"/>
            <a:gd name="vf" fmla="val 11547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GB" sz="3600" kern="1200"/>
        </a:p>
      </dsp:txBody>
      <dsp:txXfrm rot="-5400000">
        <a:off x="569610" y="5269370"/>
        <a:ext cx="928219" cy="1066917"/>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54011-2c6f-46a1-81b8-278077c906ee" xsi:nil="true"/>
    <TypeandRenewal xmlns="1631f058-5842-466e-a3ec-5ac70fd8cd04" xsi:nil="true"/>
    <lcf76f155ced4ddcb4097134ff3c332f xmlns="1631f058-5842-466e-a3ec-5ac70fd8c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461D7-23DD-4261-B62A-084C4891AF64}">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customXml/itemProps2.xml><?xml version="1.0" encoding="utf-8"?>
<ds:datastoreItem xmlns:ds="http://schemas.openxmlformats.org/officeDocument/2006/customXml" ds:itemID="{34D963DE-96F9-4DC3-BC8C-89BF3160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50D2B-B454-4233-BA2E-D467501B7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Lambert</dc:creator>
  <cp:keywords/>
  <dc:description/>
  <cp:lastModifiedBy>Kelly Jackson</cp:lastModifiedBy>
  <cp:revision>2</cp:revision>
  <dcterms:created xsi:type="dcterms:W3CDTF">2025-03-05T15:56:00Z</dcterms:created>
  <dcterms:modified xsi:type="dcterms:W3CDTF">2025-03-05T15:56:00Z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y fmtid="{D5CDD505-2E9C-101B-9397-08002B2CF9AE}" pid="3" name="MediaServiceImageTags">
    <vt:lpwstr/>
  </property>
</Properties>
</file>